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53D7" w14:textId="77777777" w:rsidR="00AB3EF4" w:rsidRDefault="00AB3EF4" w:rsidP="00AB3EF4">
      <w:pPr>
        <w:pStyle w:val="BodyText"/>
        <w:spacing w:before="2" w:after="1"/>
        <w:rPr>
          <w:b/>
          <w:bCs/>
          <w:color w:val="4472C4" w:themeColor="accent1"/>
          <w:sz w:val="24"/>
          <w:szCs w:val="24"/>
        </w:rPr>
      </w:pPr>
      <w:r w:rsidRPr="00BD5370">
        <w:rPr>
          <w:b/>
          <w:bCs/>
          <w:color w:val="4472C4" w:themeColor="accent1"/>
          <w:sz w:val="24"/>
          <w:szCs w:val="24"/>
        </w:rPr>
        <w:t>APPENDIX F: Suggested Activities</w:t>
      </w:r>
    </w:p>
    <w:p w14:paraId="0D2D2072" w14:textId="77777777" w:rsidR="00AB3EF4" w:rsidRDefault="00AB3EF4" w:rsidP="00AB3EF4">
      <w:pPr>
        <w:pStyle w:val="BodyText"/>
        <w:spacing w:before="2" w:after="1"/>
        <w:rPr>
          <w:b/>
          <w:bCs/>
          <w:color w:val="4472C4" w:themeColor="accent1"/>
          <w:sz w:val="24"/>
          <w:szCs w:val="24"/>
        </w:rPr>
      </w:pPr>
    </w:p>
    <w:p w14:paraId="174277E1" w14:textId="77777777" w:rsidR="00AB3EF4" w:rsidRPr="005D1425" w:rsidRDefault="00AB3EF4" w:rsidP="00AB3EF4">
      <w:pPr>
        <w:spacing w:before="14"/>
        <w:rPr>
          <w:rFonts w:cstheme="minorHAnsi"/>
          <w:b/>
          <w:bCs/>
          <w:sz w:val="22"/>
          <w:szCs w:val="22"/>
        </w:rPr>
      </w:pPr>
      <w:r w:rsidRPr="005D1425">
        <w:rPr>
          <w:rFonts w:cstheme="minorHAnsi"/>
          <w:b/>
          <w:bCs/>
          <w:sz w:val="22"/>
          <w:szCs w:val="22"/>
        </w:rPr>
        <w:t>1. Education Supports:</w:t>
      </w:r>
    </w:p>
    <w:p w14:paraId="6BFDC1A0" w14:textId="77777777" w:rsidR="00AB3EF4" w:rsidRPr="005D1425" w:rsidRDefault="00AB3EF4" w:rsidP="00AB3EF4">
      <w:pPr>
        <w:pStyle w:val="ListParagraph"/>
        <w:numPr>
          <w:ilvl w:val="0"/>
          <w:numId w:val="1"/>
        </w:numPr>
        <w:spacing w:before="14"/>
        <w:rPr>
          <w:rFonts w:eastAsiaTheme="minorEastAsia" w:cstheme="minorHAnsi"/>
        </w:rPr>
      </w:pPr>
      <w:r w:rsidRPr="005D1425">
        <w:rPr>
          <w:rFonts w:cstheme="minorHAnsi"/>
        </w:rPr>
        <w:t xml:space="preserve">Waiver (temporary or permanent) or reduction of outstanding fees, fines, or penalties (parking fines, outstanding payments, etc.) related to prior enrollments while participating in the program to allow for enrollment and participation, etc. </w:t>
      </w:r>
    </w:p>
    <w:p w14:paraId="00FA1259" w14:textId="77777777" w:rsidR="00AB3EF4" w:rsidRPr="005D1425" w:rsidRDefault="00AB3EF4" w:rsidP="00AB3EF4">
      <w:pPr>
        <w:pStyle w:val="ListParagraph"/>
        <w:numPr>
          <w:ilvl w:val="0"/>
          <w:numId w:val="1"/>
        </w:numPr>
        <w:rPr>
          <w:rFonts w:cstheme="minorHAnsi"/>
        </w:rPr>
      </w:pPr>
      <w:r w:rsidRPr="005D1425">
        <w:rPr>
          <w:rFonts w:cstheme="minorHAnsi"/>
        </w:rPr>
        <w:t>No-Cost Tutorial services</w:t>
      </w:r>
    </w:p>
    <w:p w14:paraId="149E9BE7" w14:textId="77777777" w:rsidR="00AB3EF4" w:rsidRPr="005D1425" w:rsidRDefault="00AB3EF4" w:rsidP="00AB3EF4">
      <w:pPr>
        <w:pStyle w:val="ListParagraph"/>
        <w:numPr>
          <w:ilvl w:val="0"/>
          <w:numId w:val="1"/>
        </w:numPr>
        <w:rPr>
          <w:rFonts w:cstheme="minorHAnsi"/>
        </w:rPr>
      </w:pPr>
      <w:r w:rsidRPr="005D1425">
        <w:rPr>
          <w:rFonts w:cstheme="minorHAnsi"/>
        </w:rPr>
        <w:t xml:space="preserve">No-Cost books and supplies </w:t>
      </w:r>
    </w:p>
    <w:p w14:paraId="23CFAFE8" w14:textId="77777777" w:rsidR="00AB3EF4" w:rsidRPr="005D1425" w:rsidRDefault="00AB3EF4" w:rsidP="00AB3EF4">
      <w:pPr>
        <w:pStyle w:val="ListParagraph"/>
        <w:numPr>
          <w:ilvl w:val="0"/>
          <w:numId w:val="1"/>
        </w:numPr>
        <w:rPr>
          <w:rFonts w:cstheme="minorHAnsi"/>
        </w:rPr>
      </w:pPr>
      <w:r w:rsidRPr="005D1425">
        <w:rPr>
          <w:rFonts w:cstheme="minorHAnsi"/>
        </w:rPr>
        <w:t xml:space="preserve">Dedicated study areas </w:t>
      </w:r>
    </w:p>
    <w:p w14:paraId="719C2517" w14:textId="77777777" w:rsidR="00AB3EF4" w:rsidRPr="005D1425" w:rsidRDefault="00AB3EF4" w:rsidP="00AB3EF4">
      <w:pPr>
        <w:pStyle w:val="ListParagraph"/>
        <w:numPr>
          <w:ilvl w:val="0"/>
          <w:numId w:val="1"/>
        </w:numPr>
        <w:rPr>
          <w:rFonts w:cstheme="minorHAnsi"/>
        </w:rPr>
      </w:pPr>
      <w:r w:rsidRPr="005D1425">
        <w:rPr>
          <w:rFonts w:cstheme="minorHAnsi"/>
        </w:rPr>
        <w:t xml:space="preserve">Dedicated mentorship programs </w:t>
      </w:r>
    </w:p>
    <w:p w14:paraId="0E47E8B2" w14:textId="77777777" w:rsidR="00AB3EF4" w:rsidRPr="005D1425" w:rsidRDefault="00AB3EF4" w:rsidP="00AB3EF4">
      <w:pPr>
        <w:pStyle w:val="ListParagraph"/>
        <w:numPr>
          <w:ilvl w:val="0"/>
          <w:numId w:val="1"/>
        </w:numPr>
        <w:rPr>
          <w:rFonts w:cstheme="minorHAnsi"/>
        </w:rPr>
      </w:pPr>
      <w:r w:rsidRPr="005D1425">
        <w:rPr>
          <w:rFonts w:cstheme="minorHAnsi"/>
        </w:rPr>
        <w:t>Designated/priority access to computers, multi-function devices, or other campus technology resources at no cost</w:t>
      </w:r>
    </w:p>
    <w:p w14:paraId="77B69DCC" w14:textId="77777777" w:rsidR="00AB3EF4" w:rsidRPr="005D1425" w:rsidRDefault="00AB3EF4" w:rsidP="00AB3EF4">
      <w:pPr>
        <w:pStyle w:val="ListParagraph"/>
        <w:numPr>
          <w:ilvl w:val="0"/>
          <w:numId w:val="1"/>
        </w:numPr>
        <w:rPr>
          <w:rFonts w:cstheme="minorHAnsi"/>
        </w:rPr>
      </w:pPr>
      <w:r w:rsidRPr="005D1425">
        <w:rPr>
          <w:rFonts w:cstheme="minorHAnsi"/>
        </w:rPr>
        <w:t xml:space="preserve">Advanced library training and research protocol onboarding assistance and mentorship as needed by the returning student </w:t>
      </w:r>
    </w:p>
    <w:p w14:paraId="33D09099" w14:textId="77777777" w:rsidR="00AB3EF4" w:rsidRPr="005D1425" w:rsidRDefault="00AB3EF4" w:rsidP="00AB3EF4">
      <w:pPr>
        <w:pStyle w:val="ListParagraph"/>
        <w:numPr>
          <w:ilvl w:val="0"/>
          <w:numId w:val="1"/>
        </w:numPr>
        <w:spacing w:after="0"/>
        <w:rPr>
          <w:rFonts w:cstheme="minorHAnsi"/>
        </w:rPr>
      </w:pPr>
      <w:r w:rsidRPr="005D1425">
        <w:rPr>
          <w:rFonts w:cstheme="minorHAnsi"/>
        </w:rPr>
        <w:t>Personal Computer purchase support</w:t>
      </w:r>
    </w:p>
    <w:p w14:paraId="6348103A" w14:textId="77777777" w:rsidR="00AB3EF4" w:rsidRPr="005D1425" w:rsidRDefault="00AB3EF4" w:rsidP="00AB3EF4">
      <w:pPr>
        <w:ind w:left="1440"/>
        <w:rPr>
          <w:rFonts w:cstheme="minorHAnsi"/>
          <w:sz w:val="22"/>
          <w:szCs w:val="22"/>
        </w:rPr>
      </w:pPr>
      <w:r w:rsidRPr="005D1425">
        <w:rPr>
          <w:rFonts w:cstheme="minorHAnsi"/>
          <w:sz w:val="22"/>
          <w:szCs w:val="22"/>
        </w:rPr>
        <w:t>-Personal computer purchase support may not to exceed $500.00 per participant.</w:t>
      </w:r>
    </w:p>
    <w:p w14:paraId="5EA36852" w14:textId="77777777" w:rsidR="00AB3EF4" w:rsidRPr="005D1425" w:rsidRDefault="00AB3EF4" w:rsidP="00AB3EF4">
      <w:pPr>
        <w:ind w:left="1440"/>
        <w:contextualSpacing/>
        <w:rPr>
          <w:rFonts w:cstheme="minorHAnsi"/>
          <w:sz w:val="22"/>
          <w:szCs w:val="22"/>
        </w:rPr>
      </w:pPr>
      <w:r w:rsidRPr="005D1425">
        <w:rPr>
          <w:rFonts w:cstheme="minorHAnsi"/>
          <w:sz w:val="22"/>
          <w:szCs w:val="22"/>
        </w:rPr>
        <w:t xml:space="preserve">-Once purchased the device belongs to the participant and they are responsible for all costs associated to maintenance. </w:t>
      </w:r>
    </w:p>
    <w:p w14:paraId="3DE5F72B" w14:textId="77777777" w:rsidR="00AB3EF4" w:rsidRPr="005D1425" w:rsidRDefault="00AB3EF4" w:rsidP="00AB3EF4">
      <w:pPr>
        <w:ind w:left="1440"/>
        <w:contextualSpacing/>
        <w:rPr>
          <w:rFonts w:cstheme="minorHAnsi"/>
          <w:sz w:val="22"/>
          <w:szCs w:val="22"/>
        </w:rPr>
      </w:pPr>
      <w:r w:rsidRPr="005D1425">
        <w:rPr>
          <w:rFonts w:cstheme="minorHAnsi"/>
          <w:sz w:val="22"/>
          <w:szCs w:val="22"/>
        </w:rPr>
        <w:t xml:space="preserve">-Personal computer purchase support may only be considered if the participant has no other existing device available. The participant must sign a self-attestation form and the form must be available to the department upon request.   </w:t>
      </w:r>
    </w:p>
    <w:p w14:paraId="3A47FD3F" w14:textId="77777777" w:rsidR="00AB3EF4" w:rsidRPr="005D1425" w:rsidRDefault="00AB3EF4" w:rsidP="00AB3EF4">
      <w:pPr>
        <w:ind w:left="1440"/>
        <w:contextualSpacing/>
        <w:rPr>
          <w:rFonts w:cstheme="minorHAnsi"/>
          <w:sz w:val="22"/>
          <w:szCs w:val="22"/>
        </w:rPr>
      </w:pPr>
      <w:r w:rsidRPr="005D1425">
        <w:rPr>
          <w:rFonts w:cstheme="minorHAnsi"/>
          <w:sz w:val="22"/>
          <w:szCs w:val="22"/>
        </w:rPr>
        <w:t xml:space="preserve">-Failure to adhere to this internal control will result in disallowed costs. </w:t>
      </w:r>
    </w:p>
    <w:p w14:paraId="76CB1E71" w14:textId="77777777" w:rsidR="00AB3EF4" w:rsidRPr="005D1425" w:rsidRDefault="00AB3EF4" w:rsidP="00AB3EF4">
      <w:pPr>
        <w:pStyle w:val="ListParagraph"/>
        <w:numPr>
          <w:ilvl w:val="0"/>
          <w:numId w:val="2"/>
        </w:numPr>
        <w:spacing w:after="0"/>
        <w:rPr>
          <w:rFonts w:cstheme="minorHAnsi"/>
        </w:rPr>
      </w:pPr>
      <w:r w:rsidRPr="005D1425">
        <w:rPr>
          <w:rFonts w:cstheme="minorHAnsi"/>
        </w:rPr>
        <w:t xml:space="preserve">Personal internet service support </w:t>
      </w:r>
    </w:p>
    <w:p w14:paraId="695BDCF8" w14:textId="77777777" w:rsidR="00AB3EF4" w:rsidRPr="005D1425" w:rsidRDefault="00AB3EF4" w:rsidP="00AB3EF4">
      <w:pPr>
        <w:ind w:left="1440"/>
        <w:contextualSpacing/>
        <w:rPr>
          <w:rFonts w:cstheme="minorHAnsi"/>
          <w:sz w:val="22"/>
          <w:szCs w:val="22"/>
        </w:rPr>
      </w:pPr>
      <w:r w:rsidRPr="005D1425">
        <w:rPr>
          <w:rFonts w:cstheme="minorHAnsi"/>
          <w:sz w:val="22"/>
          <w:szCs w:val="22"/>
        </w:rPr>
        <w:t>-Personal internet service support may not exceed $30.00 per month.</w:t>
      </w:r>
    </w:p>
    <w:p w14:paraId="0439031E" w14:textId="77777777" w:rsidR="00AB3EF4" w:rsidRPr="005D1425" w:rsidRDefault="00AB3EF4" w:rsidP="00AB3EF4">
      <w:pPr>
        <w:ind w:left="1440"/>
        <w:contextualSpacing/>
        <w:rPr>
          <w:rFonts w:cstheme="minorHAnsi"/>
          <w:sz w:val="22"/>
          <w:szCs w:val="22"/>
        </w:rPr>
      </w:pPr>
      <w:r w:rsidRPr="005D1425">
        <w:rPr>
          <w:rFonts w:cstheme="minorHAnsi"/>
          <w:sz w:val="22"/>
          <w:szCs w:val="22"/>
        </w:rPr>
        <w:t>-Personal internet service support may only be provided during the months the customer is enrolled and actively engaged in the program.</w:t>
      </w:r>
    </w:p>
    <w:p w14:paraId="1A395464" w14:textId="77777777" w:rsidR="00AB3EF4" w:rsidRPr="005D1425" w:rsidRDefault="00AB3EF4" w:rsidP="00AB3EF4">
      <w:pPr>
        <w:ind w:left="1440"/>
        <w:contextualSpacing/>
        <w:rPr>
          <w:rFonts w:cstheme="minorHAnsi"/>
          <w:sz w:val="22"/>
          <w:szCs w:val="22"/>
        </w:rPr>
      </w:pPr>
      <w:r w:rsidRPr="005D1425">
        <w:rPr>
          <w:rFonts w:cstheme="minorHAnsi"/>
          <w:sz w:val="22"/>
          <w:szCs w:val="22"/>
        </w:rPr>
        <w:t>-Personal internet service support reimbursement may n</w:t>
      </w:r>
      <w:r>
        <w:rPr>
          <w:rFonts w:cstheme="minorHAnsi"/>
          <w:sz w:val="22"/>
          <w:szCs w:val="22"/>
        </w:rPr>
        <w:t xml:space="preserve">ot last longer than June 30, 2024. </w:t>
      </w:r>
    </w:p>
    <w:p w14:paraId="2467468A" w14:textId="77777777" w:rsidR="00AB3EF4" w:rsidRPr="005D1425" w:rsidRDefault="00AB3EF4" w:rsidP="00AB3EF4">
      <w:pPr>
        <w:ind w:left="1440"/>
        <w:contextualSpacing/>
        <w:rPr>
          <w:rFonts w:cstheme="minorHAnsi"/>
          <w:sz w:val="22"/>
          <w:szCs w:val="22"/>
        </w:rPr>
      </w:pPr>
      <w:r w:rsidRPr="005D1425">
        <w:rPr>
          <w:rFonts w:cstheme="minorHAnsi"/>
          <w:sz w:val="22"/>
          <w:szCs w:val="22"/>
        </w:rPr>
        <w:t xml:space="preserve">-Personal internet service support may only be considered if the participant has no other existing internet service available. The participant must sign a self-assentation form and the form must be available to the department upon request.  </w:t>
      </w:r>
    </w:p>
    <w:p w14:paraId="2909D72E" w14:textId="77777777" w:rsidR="00AB3EF4" w:rsidRPr="005D1425" w:rsidRDefault="00AB3EF4" w:rsidP="00AB3EF4">
      <w:pPr>
        <w:ind w:left="1440"/>
        <w:contextualSpacing/>
        <w:rPr>
          <w:rFonts w:cstheme="minorHAnsi"/>
          <w:sz w:val="22"/>
          <w:szCs w:val="22"/>
        </w:rPr>
      </w:pPr>
      <w:r w:rsidRPr="005D1425">
        <w:rPr>
          <w:rFonts w:cstheme="minorHAnsi"/>
          <w:sz w:val="22"/>
          <w:szCs w:val="22"/>
        </w:rPr>
        <w:t>-Failure to adhere to this internal control will result in disallowed costs.</w:t>
      </w:r>
    </w:p>
    <w:p w14:paraId="7990B847" w14:textId="77777777" w:rsidR="00AB3EF4" w:rsidRPr="002977C9" w:rsidRDefault="00AB3EF4" w:rsidP="00AB3EF4">
      <w:pPr>
        <w:spacing w:before="14"/>
        <w:rPr>
          <w:rFonts w:cstheme="minorHAnsi"/>
          <w:sz w:val="22"/>
          <w:szCs w:val="22"/>
        </w:rPr>
      </w:pPr>
    </w:p>
    <w:p w14:paraId="3FFA8151" w14:textId="77777777" w:rsidR="00AB3EF4" w:rsidRPr="002977C9" w:rsidRDefault="00AB3EF4" w:rsidP="00AB3EF4">
      <w:pPr>
        <w:rPr>
          <w:rFonts w:cstheme="minorHAnsi"/>
          <w:b/>
          <w:bCs/>
          <w:sz w:val="22"/>
          <w:szCs w:val="22"/>
        </w:rPr>
      </w:pPr>
      <w:r w:rsidRPr="002977C9">
        <w:rPr>
          <w:rFonts w:cstheme="minorHAnsi"/>
          <w:b/>
          <w:bCs/>
          <w:sz w:val="22"/>
          <w:szCs w:val="22"/>
        </w:rPr>
        <w:t>2. Case Management Supports:</w:t>
      </w:r>
    </w:p>
    <w:p w14:paraId="083FCE48" w14:textId="77777777" w:rsidR="00AB3EF4" w:rsidRPr="00EA3079" w:rsidRDefault="00AB3EF4" w:rsidP="00AB3EF4">
      <w:pPr>
        <w:pStyle w:val="ListParagraph"/>
        <w:numPr>
          <w:ilvl w:val="0"/>
          <w:numId w:val="2"/>
        </w:numPr>
        <w:rPr>
          <w:rFonts w:eastAsiaTheme="minorEastAsia" w:cstheme="minorHAnsi"/>
          <w:b/>
          <w:bCs/>
        </w:rPr>
      </w:pPr>
      <w:r w:rsidRPr="00EA3079">
        <w:rPr>
          <w:rFonts w:cstheme="minorHAnsi"/>
        </w:rPr>
        <w:t xml:space="preserve">Identification of additional funding sources to meet unmet needs </w:t>
      </w:r>
    </w:p>
    <w:p w14:paraId="12D94912" w14:textId="77777777" w:rsidR="00AB3EF4" w:rsidRPr="00EA3079" w:rsidRDefault="00AB3EF4" w:rsidP="00AB3EF4">
      <w:pPr>
        <w:pStyle w:val="ListParagraph"/>
        <w:numPr>
          <w:ilvl w:val="0"/>
          <w:numId w:val="2"/>
        </w:numPr>
        <w:rPr>
          <w:rFonts w:cstheme="minorHAnsi"/>
        </w:rPr>
      </w:pPr>
      <w:r w:rsidRPr="00EA3079">
        <w:rPr>
          <w:rFonts w:cstheme="minorHAnsi"/>
        </w:rPr>
        <w:t xml:space="preserve">Identification of financial assistance or other resources to assist the participant with debt relief, loan forgiveness, etc. </w:t>
      </w:r>
    </w:p>
    <w:p w14:paraId="34D4F1C2" w14:textId="77777777" w:rsidR="00AB3EF4" w:rsidRPr="00EA3079" w:rsidRDefault="00AB3EF4" w:rsidP="00AB3EF4">
      <w:pPr>
        <w:pStyle w:val="ListParagraph"/>
        <w:numPr>
          <w:ilvl w:val="0"/>
          <w:numId w:val="2"/>
        </w:numPr>
        <w:rPr>
          <w:rFonts w:cstheme="minorHAnsi"/>
        </w:rPr>
      </w:pPr>
      <w:r w:rsidRPr="00EA3079">
        <w:rPr>
          <w:rFonts w:cstheme="minorHAnsi"/>
        </w:rPr>
        <w:t>Identification and hand-off referral to additional community resources or supports</w:t>
      </w:r>
    </w:p>
    <w:p w14:paraId="684B7E7C" w14:textId="77777777" w:rsidR="00AB3EF4" w:rsidRPr="00EA3079" w:rsidRDefault="00AB3EF4" w:rsidP="00AB3EF4">
      <w:pPr>
        <w:pStyle w:val="ListParagraph"/>
        <w:numPr>
          <w:ilvl w:val="0"/>
          <w:numId w:val="2"/>
        </w:numPr>
        <w:rPr>
          <w:rFonts w:cstheme="minorHAnsi"/>
        </w:rPr>
      </w:pPr>
      <w:r w:rsidRPr="00EA3079">
        <w:rPr>
          <w:rFonts w:cstheme="minorHAnsi"/>
        </w:rPr>
        <w:t>Access to campus health, counseling services, or a hand-off referral to community health and counseling services</w:t>
      </w:r>
    </w:p>
    <w:p w14:paraId="3340412D" w14:textId="77777777" w:rsidR="00AB3EF4" w:rsidRPr="002977C9" w:rsidRDefault="00AB3EF4" w:rsidP="00AB3EF4">
      <w:pPr>
        <w:contextualSpacing/>
        <w:rPr>
          <w:rFonts w:cstheme="minorHAnsi"/>
          <w:sz w:val="22"/>
          <w:szCs w:val="22"/>
        </w:rPr>
      </w:pPr>
    </w:p>
    <w:p w14:paraId="431124ED" w14:textId="77777777" w:rsidR="00AB3EF4" w:rsidRPr="002977C9" w:rsidRDefault="00AB3EF4" w:rsidP="00AB3EF4">
      <w:pPr>
        <w:spacing w:before="14"/>
        <w:rPr>
          <w:rFonts w:cstheme="minorHAnsi"/>
          <w:b/>
          <w:bCs/>
          <w:sz w:val="22"/>
          <w:szCs w:val="22"/>
        </w:rPr>
      </w:pPr>
      <w:r w:rsidRPr="002977C9">
        <w:rPr>
          <w:rFonts w:cstheme="minorHAnsi"/>
          <w:b/>
          <w:bCs/>
          <w:sz w:val="22"/>
          <w:szCs w:val="22"/>
        </w:rPr>
        <w:t>3. Employer Connections:</w:t>
      </w:r>
    </w:p>
    <w:p w14:paraId="03C2802D" w14:textId="77777777" w:rsidR="00AB3EF4" w:rsidRPr="008C710A" w:rsidRDefault="00AB3EF4" w:rsidP="00AB3EF4">
      <w:pPr>
        <w:pStyle w:val="ListParagraph"/>
        <w:numPr>
          <w:ilvl w:val="0"/>
          <w:numId w:val="3"/>
        </w:numPr>
        <w:rPr>
          <w:rFonts w:cstheme="minorHAnsi"/>
          <w:b/>
          <w:bCs/>
        </w:rPr>
      </w:pPr>
      <w:r w:rsidRPr="008C710A">
        <w:rPr>
          <w:rFonts w:cstheme="minorHAnsi"/>
        </w:rPr>
        <w:t>Job Fairs</w:t>
      </w:r>
    </w:p>
    <w:p w14:paraId="57BBFD49" w14:textId="77777777" w:rsidR="00AB3EF4" w:rsidRPr="008C710A" w:rsidRDefault="00AB3EF4" w:rsidP="00AB3EF4">
      <w:pPr>
        <w:pStyle w:val="ListParagraph"/>
        <w:numPr>
          <w:ilvl w:val="0"/>
          <w:numId w:val="3"/>
        </w:numPr>
        <w:rPr>
          <w:rFonts w:cstheme="minorHAnsi"/>
          <w:b/>
          <w:bCs/>
        </w:rPr>
      </w:pPr>
      <w:r w:rsidRPr="008C710A">
        <w:rPr>
          <w:rFonts w:cstheme="minorHAnsi"/>
        </w:rPr>
        <w:t>Internships</w:t>
      </w:r>
    </w:p>
    <w:p w14:paraId="61F0C989" w14:textId="77777777" w:rsidR="00AB3EF4" w:rsidRPr="008C710A" w:rsidRDefault="00AB3EF4" w:rsidP="00AB3EF4">
      <w:pPr>
        <w:pStyle w:val="ListParagraph"/>
        <w:numPr>
          <w:ilvl w:val="0"/>
          <w:numId w:val="3"/>
        </w:numPr>
        <w:rPr>
          <w:rFonts w:cstheme="minorHAnsi"/>
        </w:rPr>
      </w:pPr>
      <w:r w:rsidRPr="008C710A">
        <w:rPr>
          <w:rFonts w:cstheme="minorHAnsi"/>
        </w:rPr>
        <w:t>Job Shadowing</w:t>
      </w:r>
    </w:p>
    <w:p w14:paraId="6D707BD0" w14:textId="77777777" w:rsidR="00AB3EF4" w:rsidRPr="008C710A" w:rsidRDefault="00AB3EF4" w:rsidP="00AB3EF4">
      <w:pPr>
        <w:pStyle w:val="ListParagraph"/>
        <w:numPr>
          <w:ilvl w:val="0"/>
          <w:numId w:val="3"/>
        </w:numPr>
        <w:rPr>
          <w:rFonts w:cstheme="minorHAnsi"/>
        </w:rPr>
      </w:pPr>
      <w:r w:rsidRPr="008C710A">
        <w:rPr>
          <w:rFonts w:cstheme="minorHAnsi"/>
        </w:rPr>
        <w:t>Observations</w:t>
      </w:r>
    </w:p>
    <w:p w14:paraId="0F4ABBBF" w14:textId="77777777" w:rsidR="00AB3EF4" w:rsidRPr="008C710A" w:rsidRDefault="00AB3EF4" w:rsidP="00AB3EF4">
      <w:pPr>
        <w:pStyle w:val="ListParagraph"/>
        <w:numPr>
          <w:ilvl w:val="0"/>
          <w:numId w:val="3"/>
        </w:numPr>
        <w:rPr>
          <w:rFonts w:cstheme="minorHAnsi"/>
        </w:rPr>
      </w:pPr>
      <w:r w:rsidRPr="008C710A">
        <w:rPr>
          <w:rFonts w:cstheme="minorHAnsi"/>
        </w:rPr>
        <w:t xml:space="preserve">Career mentoring </w:t>
      </w:r>
    </w:p>
    <w:p w14:paraId="4111587E" w14:textId="77777777" w:rsidR="00AB3EF4" w:rsidRPr="008C710A" w:rsidRDefault="00AB3EF4" w:rsidP="00AB3EF4">
      <w:pPr>
        <w:pStyle w:val="ListParagraph"/>
        <w:numPr>
          <w:ilvl w:val="0"/>
          <w:numId w:val="3"/>
        </w:numPr>
        <w:rPr>
          <w:rFonts w:cstheme="minorHAnsi"/>
        </w:rPr>
      </w:pPr>
      <w:r w:rsidRPr="008C710A">
        <w:rPr>
          <w:rFonts w:cstheme="minorHAnsi"/>
        </w:rPr>
        <w:t xml:space="preserve">Career awareness activities and industry specific presentations </w:t>
      </w:r>
    </w:p>
    <w:p w14:paraId="517CA5E6" w14:textId="77777777" w:rsidR="00AB3EF4" w:rsidRPr="008C710A" w:rsidRDefault="00AB3EF4" w:rsidP="00AB3EF4">
      <w:pPr>
        <w:pStyle w:val="ListParagraph"/>
        <w:numPr>
          <w:ilvl w:val="0"/>
          <w:numId w:val="3"/>
        </w:numPr>
        <w:rPr>
          <w:rFonts w:cstheme="minorHAnsi"/>
        </w:rPr>
      </w:pPr>
      <w:r w:rsidRPr="008C710A">
        <w:rPr>
          <w:rFonts w:cstheme="minorHAnsi"/>
        </w:rPr>
        <w:t>Mock Interviews</w:t>
      </w:r>
    </w:p>
    <w:p w14:paraId="35F55760" w14:textId="77777777" w:rsidR="00AB3EF4" w:rsidRPr="008C710A" w:rsidRDefault="00AB3EF4" w:rsidP="00AB3EF4">
      <w:pPr>
        <w:pStyle w:val="ListParagraph"/>
        <w:numPr>
          <w:ilvl w:val="0"/>
          <w:numId w:val="3"/>
        </w:numPr>
        <w:rPr>
          <w:rFonts w:cstheme="minorHAnsi"/>
        </w:rPr>
      </w:pPr>
      <w:r w:rsidRPr="008C710A">
        <w:rPr>
          <w:rFonts w:cstheme="minorHAnsi"/>
        </w:rPr>
        <w:t>Employer facility tours or group virtual overviews</w:t>
      </w:r>
    </w:p>
    <w:p w14:paraId="2025CA27" w14:textId="77777777" w:rsidR="00AB3EF4" w:rsidRPr="008C710A" w:rsidRDefault="00AB3EF4" w:rsidP="00AB3EF4">
      <w:pPr>
        <w:pStyle w:val="ListParagraph"/>
        <w:numPr>
          <w:ilvl w:val="0"/>
          <w:numId w:val="3"/>
        </w:numPr>
        <w:rPr>
          <w:rFonts w:cstheme="minorHAnsi"/>
        </w:rPr>
      </w:pPr>
      <w:r w:rsidRPr="008C710A">
        <w:rPr>
          <w:rFonts w:cstheme="minorHAnsi"/>
        </w:rPr>
        <w:lastRenderedPageBreak/>
        <w:t>Employer job posting prioritization for job seekers participating in the program</w:t>
      </w:r>
    </w:p>
    <w:p w14:paraId="64C9108F" w14:textId="77777777" w:rsidR="00AB3EF4" w:rsidRPr="00276AC8" w:rsidRDefault="00AB3EF4" w:rsidP="00AB3EF4">
      <w:pPr>
        <w:contextualSpacing/>
        <w:rPr>
          <w:rFonts w:cstheme="minorHAnsi"/>
          <w:sz w:val="22"/>
          <w:szCs w:val="22"/>
        </w:rPr>
      </w:pPr>
    </w:p>
    <w:p w14:paraId="108D285A" w14:textId="77777777" w:rsidR="00AB3EF4" w:rsidRPr="00276AC8" w:rsidRDefault="00AB3EF4" w:rsidP="00AB3EF4">
      <w:pPr>
        <w:spacing w:before="14"/>
        <w:rPr>
          <w:rFonts w:cstheme="minorHAnsi"/>
          <w:b/>
          <w:bCs/>
          <w:sz w:val="22"/>
          <w:szCs w:val="22"/>
        </w:rPr>
      </w:pPr>
      <w:r w:rsidRPr="00276AC8">
        <w:rPr>
          <w:rFonts w:cstheme="minorHAnsi"/>
          <w:b/>
          <w:bCs/>
          <w:sz w:val="22"/>
          <w:szCs w:val="22"/>
        </w:rPr>
        <w:t>4. Career Guidance and Employment Supports:</w:t>
      </w:r>
    </w:p>
    <w:p w14:paraId="1251B57A" w14:textId="77777777" w:rsidR="00AB3EF4" w:rsidRDefault="00AB3EF4" w:rsidP="00AB3EF4">
      <w:pPr>
        <w:pStyle w:val="ListParagraph"/>
        <w:numPr>
          <w:ilvl w:val="0"/>
          <w:numId w:val="4"/>
        </w:numPr>
        <w:rPr>
          <w:rFonts w:cstheme="minorHAnsi"/>
        </w:rPr>
      </w:pPr>
      <w:r w:rsidRPr="008C710A">
        <w:rPr>
          <w:rFonts w:cstheme="minorHAnsi"/>
        </w:rPr>
        <w:t>Individual or group job readiness training:</w:t>
      </w:r>
    </w:p>
    <w:p w14:paraId="63ABC64F" w14:textId="77777777" w:rsidR="00AB3EF4" w:rsidRDefault="00AB3EF4" w:rsidP="00AB3EF4">
      <w:pPr>
        <w:pStyle w:val="ListParagraph"/>
        <w:ind w:left="1440"/>
        <w:rPr>
          <w:rFonts w:cstheme="minorHAnsi"/>
        </w:rPr>
      </w:pPr>
      <w:r>
        <w:rPr>
          <w:rFonts w:cstheme="minorHAnsi"/>
        </w:rPr>
        <w:t>-</w:t>
      </w:r>
      <w:r w:rsidRPr="008C710A">
        <w:rPr>
          <w:rFonts w:cstheme="minorHAnsi"/>
        </w:rPr>
        <w:t>Soft skills</w:t>
      </w:r>
    </w:p>
    <w:p w14:paraId="4FE3BF5B" w14:textId="77777777" w:rsidR="00AB3EF4" w:rsidRDefault="00AB3EF4" w:rsidP="00AB3EF4">
      <w:pPr>
        <w:pStyle w:val="ListParagraph"/>
        <w:ind w:left="1440"/>
        <w:rPr>
          <w:rFonts w:cstheme="minorHAnsi"/>
        </w:rPr>
      </w:pPr>
      <w:r>
        <w:rPr>
          <w:rFonts w:cstheme="minorHAnsi"/>
        </w:rPr>
        <w:t>-</w:t>
      </w:r>
      <w:r w:rsidRPr="00276AC8">
        <w:rPr>
          <w:rFonts w:cstheme="minorHAnsi"/>
        </w:rPr>
        <w:t>Interview prep</w:t>
      </w:r>
    </w:p>
    <w:p w14:paraId="6F30ED28" w14:textId="77777777" w:rsidR="00AB3EF4" w:rsidRDefault="00AB3EF4" w:rsidP="00AB3EF4">
      <w:pPr>
        <w:pStyle w:val="ListParagraph"/>
        <w:ind w:left="1440"/>
        <w:rPr>
          <w:rFonts w:cstheme="minorHAnsi"/>
        </w:rPr>
      </w:pPr>
      <w:r>
        <w:rPr>
          <w:rFonts w:cstheme="minorHAnsi"/>
        </w:rPr>
        <w:t>-</w:t>
      </w:r>
      <w:r w:rsidRPr="00276AC8">
        <w:rPr>
          <w:rFonts w:cstheme="minorHAnsi"/>
        </w:rPr>
        <w:t>Mock interviews</w:t>
      </w:r>
    </w:p>
    <w:p w14:paraId="43071556" w14:textId="77777777" w:rsidR="00AB3EF4" w:rsidRDefault="00AB3EF4" w:rsidP="00AB3EF4">
      <w:pPr>
        <w:pStyle w:val="ListParagraph"/>
        <w:ind w:left="1440"/>
        <w:rPr>
          <w:rFonts w:cstheme="minorHAnsi"/>
        </w:rPr>
      </w:pPr>
      <w:r>
        <w:rPr>
          <w:rFonts w:cstheme="minorHAnsi"/>
        </w:rPr>
        <w:t>-</w:t>
      </w:r>
      <w:r w:rsidRPr="00276AC8">
        <w:rPr>
          <w:rFonts w:cstheme="minorHAnsi"/>
        </w:rPr>
        <w:t>Resume prep</w:t>
      </w:r>
    </w:p>
    <w:p w14:paraId="01CA5D30" w14:textId="77777777" w:rsidR="00AB3EF4" w:rsidRDefault="00AB3EF4" w:rsidP="00AB3EF4">
      <w:pPr>
        <w:pStyle w:val="ListParagraph"/>
        <w:ind w:left="1440"/>
        <w:rPr>
          <w:rFonts w:cstheme="minorHAnsi"/>
        </w:rPr>
      </w:pPr>
      <w:r>
        <w:rPr>
          <w:rFonts w:cstheme="minorHAnsi"/>
        </w:rPr>
        <w:t>-</w:t>
      </w:r>
      <w:r w:rsidRPr="00276AC8">
        <w:rPr>
          <w:rFonts w:cstheme="minorHAnsi"/>
        </w:rPr>
        <w:t>Financial Literacy</w:t>
      </w:r>
    </w:p>
    <w:p w14:paraId="4B659EDA" w14:textId="77777777" w:rsidR="00AB3EF4" w:rsidRDefault="00AB3EF4" w:rsidP="00AB3EF4">
      <w:pPr>
        <w:pStyle w:val="ListParagraph"/>
        <w:ind w:left="1440"/>
        <w:rPr>
          <w:rFonts w:cstheme="minorHAnsi"/>
        </w:rPr>
      </w:pPr>
      <w:r>
        <w:rPr>
          <w:rFonts w:cstheme="minorHAnsi"/>
        </w:rPr>
        <w:t>-</w:t>
      </w:r>
      <w:r w:rsidRPr="00276AC8">
        <w:rPr>
          <w:rFonts w:cstheme="minorHAnsi"/>
        </w:rPr>
        <w:t>Digital Literacy</w:t>
      </w:r>
    </w:p>
    <w:p w14:paraId="148BF5AE" w14:textId="77777777" w:rsidR="00AB3EF4" w:rsidRDefault="00AB3EF4" w:rsidP="00AB3EF4">
      <w:pPr>
        <w:pStyle w:val="ListParagraph"/>
        <w:numPr>
          <w:ilvl w:val="0"/>
          <w:numId w:val="4"/>
        </w:numPr>
        <w:rPr>
          <w:rFonts w:cstheme="minorHAnsi"/>
        </w:rPr>
      </w:pPr>
      <w:r w:rsidRPr="00276AC8">
        <w:rPr>
          <w:rFonts w:cstheme="minorHAnsi"/>
        </w:rPr>
        <w:t>Employer meetings and on campus interview programs</w:t>
      </w:r>
    </w:p>
    <w:p w14:paraId="585CCE94" w14:textId="77777777" w:rsidR="00AB3EF4" w:rsidRDefault="00AB3EF4" w:rsidP="00AB3EF4">
      <w:pPr>
        <w:pStyle w:val="ListParagraph"/>
        <w:numPr>
          <w:ilvl w:val="0"/>
          <w:numId w:val="4"/>
        </w:numPr>
        <w:rPr>
          <w:rFonts w:cstheme="minorHAnsi"/>
        </w:rPr>
      </w:pPr>
      <w:r w:rsidRPr="00276AC8">
        <w:rPr>
          <w:rFonts w:cstheme="minorHAnsi"/>
        </w:rPr>
        <w:t>Individual or group supports for the new employees to discuss issues and identify additional barriers that might be impacting their success</w:t>
      </w:r>
    </w:p>
    <w:p w14:paraId="7B6DF0B5" w14:textId="77777777" w:rsidR="00AB3EF4" w:rsidRDefault="00AB3EF4" w:rsidP="00AB3EF4">
      <w:pPr>
        <w:pStyle w:val="ListParagraph"/>
        <w:numPr>
          <w:ilvl w:val="0"/>
          <w:numId w:val="4"/>
        </w:numPr>
        <w:rPr>
          <w:rFonts w:cstheme="minorHAnsi"/>
        </w:rPr>
      </w:pPr>
      <w:r w:rsidRPr="00276AC8">
        <w:rPr>
          <w:rFonts w:cstheme="minorHAnsi"/>
        </w:rPr>
        <w:t>Monthly group or individual bi-weekly engagement (on campus meetings, virtual meetings, etc.) for job seekers who have not been placed or are no longer placed to continue to hone their skills and stay actively engaged</w:t>
      </w:r>
    </w:p>
    <w:p w14:paraId="43B85401" w14:textId="77777777" w:rsidR="00AB3EF4" w:rsidRDefault="00AB3EF4" w:rsidP="00AB3EF4">
      <w:pPr>
        <w:pStyle w:val="ListParagraph"/>
        <w:numPr>
          <w:ilvl w:val="0"/>
          <w:numId w:val="4"/>
        </w:numPr>
        <w:rPr>
          <w:rFonts w:cstheme="minorHAnsi"/>
        </w:rPr>
      </w:pPr>
      <w:r w:rsidRPr="00276AC8">
        <w:rPr>
          <w:rFonts w:cstheme="minorHAnsi"/>
        </w:rPr>
        <w:t xml:space="preserve">Direct referrals to open positions with employer collaborators </w:t>
      </w:r>
    </w:p>
    <w:p w14:paraId="117B74C5" w14:textId="77777777" w:rsidR="00AB3EF4" w:rsidRPr="00276AC8" w:rsidRDefault="00AB3EF4" w:rsidP="00AB3EF4">
      <w:pPr>
        <w:pStyle w:val="ListParagraph"/>
        <w:numPr>
          <w:ilvl w:val="0"/>
          <w:numId w:val="4"/>
        </w:numPr>
        <w:rPr>
          <w:rFonts w:cstheme="minorHAnsi"/>
        </w:rPr>
      </w:pPr>
      <w:r w:rsidRPr="00276AC8">
        <w:rPr>
          <w:rFonts w:cstheme="minorHAnsi"/>
        </w:rPr>
        <w:t>Training on the utilization of PA CareerLink® services, Campus Employment Services, and other available job seeking services and resources.</w:t>
      </w:r>
    </w:p>
    <w:p w14:paraId="483B6B34" w14:textId="77777777" w:rsidR="00AB3EF4" w:rsidRPr="00276AC8" w:rsidRDefault="00AB3EF4" w:rsidP="00AB3EF4">
      <w:pPr>
        <w:spacing w:before="14"/>
        <w:ind w:left="-900"/>
        <w:rPr>
          <w:rFonts w:cstheme="minorHAnsi"/>
          <w:sz w:val="22"/>
          <w:szCs w:val="22"/>
        </w:rPr>
      </w:pPr>
    </w:p>
    <w:p w14:paraId="2A8C883A" w14:textId="77777777" w:rsidR="00AB3EF4" w:rsidRPr="00276AC8" w:rsidRDefault="00AB3EF4" w:rsidP="00AB3EF4">
      <w:pPr>
        <w:spacing w:before="14"/>
        <w:ind w:left="-900"/>
        <w:rPr>
          <w:rFonts w:cstheme="minorHAnsi"/>
          <w:sz w:val="22"/>
          <w:szCs w:val="22"/>
        </w:rPr>
      </w:pPr>
    </w:p>
    <w:p w14:paraId="6C52E6D8" w14:textId="77777777" w:rsidR="00AB3EF4" w:rsidRPr="00276AC8" w:rsidRDefault="00AB3EF4" w:rsidP="00AB3EF4">
      <w:pPr>
        <w:spacing w:before="14"/>
        <w:ind w:left="-900"/>
        <w:jc w:val="center"/>
        <w:rPr>
          <w:rFonts w:cstheme="minorHAnsi"/>
          <w:b/>
          <w:bCs/>
          <w:color w:val="0070C0"/>
          <w:sz w:val="22"/>
          <w:szCs w:val="22"/>
        </w:rPr>
      </w:pPr>
    </w:p>
    <w:p w14:paraId="436EDB23" w14:textId="77777777" w:rsidR="00AB3EF4" w:rsidRPr="00276AC8" w:rsidRDefault="00AB3EF4" w:rsidP="00AB3EF4">
      <w:pPr>
        <w:spacing w:before="14"/>
        <w:ind w:left="-900"/>
        <w:rPr>
          <w:rFonts w:cstheme="minorHAnsi"/>
          <w:sz w:val="22"/>
          <w:szCs w:val="22"/>
        </w:rPr>
      </w:pPr>
    </w:p>
    <w:p w14:paraId="0ED9B27F" w14:textId="77777777" w:rsidR="00AB3EF4" w:rsidRPr="00276AC8" w:rsidRDefault="00AB3EF4" w:rsidP="00AB3EF4">
      <w:pPr>
        <w:spacing w:before="14"/>
        <w:ind w:left="-900"/>
        <w:rPr>
          <w:rFonts w:cstheme="minorHAnsi"/>
          <w:sz w:val="22"/>
          <w:szCs w:val="22"/>
        </w:rPr>
      </w:pPr>
    </w:p>
    <w:p w14:paraId="50A17160" w14:textId="77777777" w:rsidR="00AB3EF4" w:rsidRPr="00276AC8" w:rsidRDefault="00AB3EF4" w:rsidP="00AB3EF4">
      <w:pPr>
        <w:spacing w:before="14"/>
        <w:contextualSpacing/>
        <w:rPr>
          <w:rFonts w:eastAsia="Calibri" w:cstheme="minorHAnsi"/>
          <w:sz w:val="22"/>
          <w:szCs w:val="22"/>
        </w:rPr>
      </w:pPr>
    </w:p>
    <w:p w14:paraId="5C875567" w14:textId="77777777" w:rsidR="00AB3EF4" w:rsidRPr="00276AC8" w:rsidRDefault="00AB3EF4" w:rsidP="00AB3EF4">
      <w:pPr>
        <w:spacing w:before="14"/>
        <w:contextualSpacing/>
        <w:rPr>
          <w:rFonts w:eastAsia="Calibri" w:cstheme="minorHAnsi"/>
          <w:sz w:val="22"/>
          <w:szCs w:val="22"/>
        </w:rPr>
      </w:pPr>
    </w:p>
    <w:p w14:paraId="4EE42EFA" w14:textId="77777777" w:rsidR="00AB3EF4" w:rsidRPr="00276AC8" w:rsidRDefault="00AB3EF4" w:rsidP="00AB3EF4">
      <w:pPr>
        <w:spacing w:before="14"/>
        <w:ind w:left="720"/>
        <w:rPr>
          <w:rFonts w:eastAsia="Calibri" w:cstheme="minorHAnsi"/>
          <w:sz w:val="22"/>
          <w:szCs w:val="22"/>
        </w:rPr>
      </w:pPr>
    </w:p>
    <w:p w14:paraId="22EB0F81" w14:textId="77777777" w:rsidR="00AB3EF4" w:rsidRPr="00276AC8" w:rsidRDefault="00AB3EF4" w:rsidP="00AB3EF4">
      <w:pPr>
        <w:pStyle w:val="BodyText"/>
        <w:spacing w:before="2" w:after="1"/>
        <w:rPr>
          <w:rFonts w:asciiTheme="minorHAnsi" w:hAnsiTheme="minorHAnsi" w:cstheme="minorHAnsi"/>
          <w:b/>
          <w:bCs/>
          <w:color w:val="4472C4" w:themeColor="accent1"/>
        </w:rPr>
      </w:pPr>
    </w:p>
    <w:p w14:paraId="2EBE83CF" w14:textId="77777777" w:rsidR="00AB3EF4" w:rsidRPr="00276AC8" w:rsidRDefault="00AB3EF4" w:rsidP="00AB3EF4">
      <w:pPr>
        <w:pStyle w:val="BodyText"/>
        <w:spacing w:before="2" w:after="1"/>
        <w:rPr>
          <w:rFonts w:asciiTheme="minorHAnsi" w:hAnsiTheme="minorHAnsi" w:cstheme="minorHAnsi"/>
          <w:b/>
          <w:bCs/>
          <w:color w:val="4472C4" w:themeColor="accent1"/>
        </w:rPr>
      </w:pPr>
    </w:p>
    <w:p w14:paraId="5DD35BA9" w14:textId="77777777" w:rsidR="00AB3EF4" w:rsidRPr="00276AC8" w:rsidRDefault="00AB3EF4" w:rsidP="00AB3EF4">
      <w:pPr>
        <w:pStyle w:val="BodyText"/>
        <w:spacing w:before="2" w:after="1"/>
        <w:rPr>
          <w:rFonts w:asciiTheme="minorHAnsi" w:hAnsiTheme="minorHAnsi" w:cstheme="minorHAnsi"/>
          <w:b/>
          <w:bCs/>
          <w:color w:val="4472C4" w:themeColor="accent1"/>
        </w:rPr>
      </w:pPr>
    </w:p>
    <w:p w14:paraId="10705CD5" w14:textId="77777777" w:rsidR="00AB3EF4" w:rsidRPr="00276AC8" w:rsidRDefault="00AB3EF4" w:rsidP="00AB3EF4">
      <w:pPr>
        <w:pStyle w:val="BodyText"/>
        <w:rPr>
          <w:rFonts w:asciiTheme="minorHAnsi" w:hAnsiTheme="minorHAnsi" w:cstheme="minorHAnsi"/>
        </w:rPr>
      </w:pPr>
      <w:bookmarkStart w:id="0" w:name="OPTION_#2_–_EXEMPTION"/>
      <w:bookmarkEnd w:id="0"/>
    </w:p>
    <w:p w14:paraId="41A60336" w14:textId="77777777" w:rsidR="00AB3EF4" w:rsidRPr="00276AC8" w:rsidRDefault="00AB3EF4" w:rsidP="00AB3EF4">
      <w:pPr>
        <w:spacing w:line="207" w:lineRule="exact"/>
        <w:ind w:left="120"/>
        <w:jc w:val="both"/>
        <w:rPr>
          <w:rFonts w:cstheme="minorHAnsi"/>
          <w:sz w:val="22"/>
          <w:szCs w:val="22"/>
        </w:rPr>
      </w:pPr>
    </w:p>
    <w:p w14:paraId="18D6126D" w14:textId="77777777" w:rsidR="00AB3EF4" w:rsidRPr="00276AC8" w:rsidRDefault="00AB3EF4" w:rsidP="00AB3EF4">
      <w:pPr>
        <w:ind w:left="720" w:right="2608"/>
        <w:jc w:val="both"/>
        <w:rPr>
          <w:rFonts w:cstheme="minorHAnsi"/>
          <w:b/>
          <w:color w:val="1F3864" w:themeColor="accent1" w:themeShade="80"/>
          <w:sz w:val="22"/>
          <w:szCs w:val="22"/>
        </w:rPr>
      </w:pPr>
    </w:p>
    <w:p w14:paraId="2645FFF6" w14:textId="77777777" w:rsidR="00C8627B" w:rsidRDefault="00C8627B"/>
    <w:sectPr w:rsidR="00C8627B" w:rsidSect="006E195B">
      <w:footerReference w:type="even" r:id="rId7"/>
      <w:footerReference w:type="default" r:id="rId8"/>
      <w:pgSz w:w="12240" w:h="15840"/>
      <w:pgMar w:top="720" w:right="720" w:bottom="720" w:left="720" w:header="0" w:footer="288" w:gutter="0"/>
      <w:pgNumType w:start="1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54C9" w14:textId="77777777" w:rsidR="006C14BD" w:rsidRDefault="006C14BD">
      <w:r>
        <w:separator/>
      </w:r>
    </w:p>
  </w:endnote>
  <w:endnote w:type="continuationSeparator" w:id="0">
    <w:p w14:paraId="5D9B1B06" w14:textId="77777777" w:rsidR="006C14BD" w:rsidRDefault="006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90F9" w14:textId="77777777" w:rsidR="00E00805" w:rsidRDefault="00AB3EF4" w:rsidP="006E19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CFF9532" w14:textId="77777777" w:rsidR="00E0080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77E1" w14:textId="77777777" w:rsidR="00E0080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1034" w14:textId="77777777" w:rsidR="006C14BD" w:rsidRDefault="006C14BD">
      <w:r>
        <w:separator/>
      </w:r>
    </w:p>
  </w:footnote>
  <w:footnote w:type="continuationSeparator" w:id="0">
    <w:p w14:paraId="03291588" w14:textId="77777777" w:rsidR="006C14BD" w:rsidRDefault="006C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E00"/>
    <w:multiLevelType w:val="hybridMultilevel"/>
    <w:tmpl w:val="1332A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284237"/>
    <w:multiLevelType w:val="hybridMultilevel"/>
    <w:tmpl w:val="92DA1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1356CE"/>
    <w:multiLevelType w:val="hybridMultilevel"/>
    <w:tmpl w:val="86A85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260B06"/>
    <w:multiLevelType w:val="hybridMultilevel"/>
    <w:tmpl w:val="262CB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960189">
    <w:abstractNumId w:val="0"/>
  </w:num>
  <w:num w:numId="2" w16cid:durableId="1842575405">
    <w:abstractNumId w:val="1"/>
  </w:num>
  <w:num w:numId="3" w16cid:durableId="1044328687">
    <w:abstractNumId w:val="3"/>
  </w:num>
  <w:num w:numId="4" w16cid:durableId="1622152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F4"/>
    <w:rsid w:val="0044282F"/>
    <w:rsid w:val="006C14BD"/>
    <w:rsid w:val="00AB3EF4"/>
    <w:rsid w:val="00C8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169B"/>
  <w15:chartTrackingRefBased/>
  <w15:docId w15:val="{CEAEA511-8224-4EFE-8231-95047D52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F4"/>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Char1,Footer Char Char"/>
    <w:basedOn w:val="Normal"/>
    <w:link w:val="FooterChar"/>
    <w:uiPriority w:val="99"/>
    <w:rsid w:val="00AB3EF4"/>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lang w:eastAsia="en-US"/>
    </w:rPr>
  </w:style>
  <w:style w:type="character" w:customStyle="1" w:styleId="FooterChar">
    <w:name w:val="Footer Char"/>
    <w:aliases w:val="Footer Char1 Char,Footer Char Char Char"/>
    <w:basedOn w:val="DefaultParagraphFont"/>
    <w:link w:val="Footer"/>
    <w:uiPriority w:val="99"/>
    <w:rsid w:val="00AB3EF4"/>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AB3EF4"/>
    <w:pPr>
      <w:spacing w:after="160" w:line="259" w:lineRule="auto"/>
      <w:ind w:left="720"/>
      <w:contextualSpacing/>
    </w:pPr>
    <w:rPr>
      <w:rFonts w:eastAsiaTheme="minorHAnsi"/>
      <w:sz w:val="22"/>
      <w:szCs w:val="22"/>
      <w:lang w:eastAsia="en-US"/>
    </w:rPr>
  </w:style>
  <w:style w:type="character" w:styleId="PageNumber">
    <w:name w:val="page number"/>
    <w:basedOn w:val="DefaultParagraphFont"/>
    <w:uiPriority w:val="99"/>
    <w:semiHidden/>
    <w:unhideWhenUsed/>
    <w:rsid w:val="00AB3EF4"/>
  </w:style>
  <w:style w:type="paragraph" w:styleId="BodyText">
    <w:name w:val="Body Text"/>
    <w:basedOn w:val="Normal"/>
    <w:link w:val="BodyTextChar"/>
    <w:qFormat/>
    <w:rsid w:val="00AB3EF4"/>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rsid w:val="00AB3EF4"/>
    <w:rPr>
      <w:rFonts w:ascii="Calibri" w:eastAsia="Calibri" w:hAnsi="Calibri" w:cs="Calibri"/>
    </w:rPr>
  </w:style>
  <w:style w:type="character" w:customStyle="1" w:styleId="ListParagraphChar">
    <w:name w:val="List Paragraph Char"/>
    <w:link w:val="ListParagraph"/>
    <w:uiPriority w:val="34"/>
    <w:rsid w:val="00AB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501807B7-D9F1-489C-B16D-E6ECFA0DA6C3}"/>
</file>

<file path=customXml/itemProps2.xml><?xml version="1.0" encoding="utf-8"?>
<ds:datastoreItem xmlns:ds="http://schemas.openxmlformats.org/officeDocument/2006/customXml" ds:itemID="{3413AFD6-264E-4C9F-8E2D-F8796A3CF4A3}"/>
</file>

<file path=customXml/itemProps3.xml><?xml version="1.0" encoding="utf-8"?>
<ds:datastoreItem xmlns:ds="http://schemas.openxmlformats.org/officeDocument/2006/customXml" ds:itemID="{4CF3D0D8-5D2A-4E1E-9DE9-E3E085675415}"/>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Jennifer</dc:creator>
  <cp:keywords/>
  <dc:description/>
  <cp:lastModifiedBy>Rokosz, Stephanie</cp:lastModifiedBy>
  <cp:revision>2</cp:revision>
  <dcterms:created xsi:type="dcterms:W3CDTF">2023-01-27T18:06:00Z</dcterms:created>
  <dcterms:modified xsi:type="dcterms:W3CDTF">2023-01-27T18:06:00Z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29100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