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343" w:rsidRPr="00B3463F" w:rsidRDefault="00A071E3" w:rsidP="00C01562">
      <w:pPr>
        <w:spacing w:after="0" w:line="240" w:lineRule="auto"/>
        <w:rPr>
          <w:b/>
          <w:color w:val="1F3864" w:themeColor="accent1" w:themeShade="80"/>
        </w:rPr>
      </w:pPr>
      <w:bookmarkStart w:id="0" w:name="_GoBack"/>
      <w:bookmarkEnd w:id="0"/>
      <w:r w:rsidRPr="00B3463F">
        <w:rPr>
          <w:b/>
          <w:color w:val="1F3864" w:themeColor="accent1" w:themeShade="80"/>
        </w:rPr>
        <w:t>Budget</w:t>
      </w:r>
      <w:r w:rsidR="00924DA7" w:rsidRPr="00B3463F">
        <w:rPr>
          <w:b/>
          <w:color w:val="1F3864" w:themeColor="accent1" w:themeShade="80"/>
        </w:rPr>
        <w:t xml:space="preserve"> Form</w:t>
      </w:r>
    </w:p>
    <w:p w:rsidR="00A071E3" w:rsidRDefault="00D5725C" w:rsidP="00EF3DAA">
      <w:pPr>
        <w:spacing w:after="0" w:line="240" w:lineRule="auto"/>
      </w:pPr>
      <w:r>
        <w:t>Com</w:t>
      </w:r>
      <w:r w:rsidR="00112DEF">
        <w:t>plete the Budget F</w:t>
      </w:r>
      <w:r w:rsidR="00A071E3">
        <w:t xml:space="preserve">orm below. </w:t>
      </w:r>
      <w:r w:rsidR="00BA30DE">
        <w:t xml:space="preserve">The expense categories below are examples. </w:t>
      </w:r>
      <w:r w:rsidR="00C01562">
        <w:t xml:space="preserve">You are not required to use all </w:t>
      </w:r>
      <w:r w:rsidR="00BA30DE">
        <w:t>expense</w:t>
      </w:r>
      <w:r w:rsidR="00C01562">
        <w:t xml:space="preserve"> categories and may add additional </w:t>
      </w:r>
      <w:r w:rsidR="00BA30DE">
        <w:t>expense</w:t>
      </w:r>
      <w:r w:rsidR="00C01562">
        <w:t xml:space="preserve"> categories</w:t>
      </w:r>
      <w:r w:rsidR="00E0161A">
        <w:t xml:space="preserve"> as needed</w:t>
      </w:r>
      <w:r w:rsidR="00C01562">
        <w:t>.</w:t>
      </w:r>
      <w:r>
        <w:t xml:space="preserve"> </w:t>
      </w:r>
      <w:r w:rsidR="00E0161A">
        <w:t xml:space="preserve">Next Generation Industry Partnership </w:t>
      </w:r>
      <w:r w:rsidR="00EF3DAA">
        <w:t xml:space="preserve">proposals require a match: </w:t>
      </w:r>
      <w:r w:rsidR="007F03E1">
        <w:t>grants require a 100</w:t>
      </w:r>
      <w:r w:rsidR="006F714C">
        <w:t xml:space="preserve"> percent</w:t>
      </w:r>
      <w:r w:rsidR="007F03E1">
        <w:t xml:space="preserve"> match</w:t>
      </w:r>
      <w:r w:rsidR="006F714C">
        <w:t>,</w:t>
      </w:r>
      <w:r w:rsidR="007F03E1">
        <w:t xml:space="preserve"> with a</w:t>
      </w:r>
      <w:r w:rsidR="00EF3DAA">
        <w:t xml:space="preserve"> private sector cash match of at least </w:t>
      </w:r>
      <w:r w:rsidR="007F03E1">
        <w:t>25</w:t>
      </w:r>
      <w:r w:rsidR="00EF3DAA">
        <w:t xml:space="preserve"> percent.</w:t>
      </w:r>
      <w:r w:rsidR="00E0161A" w:rsidRPr="00E0161A">
        <w:t xml:space="preserve"> </w:t>
      </w:r>
      <w:r w:rsidR="00E0161A">
        <w:t>Align the Budget Form to your application.</w:t>
      </w:r>
      <w:r w:rsidR="00B3463F">
        <w:t xml:space="preserve"> Use additional pages as needed.</w:t>
      </w:r>
    </w:p>
    <w:p w:rsidR="0033219F" w:rsidRDefault="0033219F" w:rsidP="0033219F">
      <w:pPr>
        <w:spacing w:after="0" w:line="240" w:lineRule="auto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88"/>
        <w:gridCol w:w="7026"/>
        <w:gridCol w:w="1171"/>
        <w:gridCol w:w="1170"/>
        <w:gridCol w:w="1170"/>
        <w:gridCol w:w="1165"/>
      </w:tblGrid>
      <w:tr w:rsidR="001906FB" w:rsidTr="00DF0C76">
        <w:tc>
          <w:tcPr>
            <w:tcW w:w="888" w:type="dxa"/>
            <w:vAlign w:val="center"/>
          </w:tcPr>
          <w:p w:rsidR="00A071E3" w:rsidRPr="00A071E3" w:rsidRDefault="00A071E3" w:rsidP="00C01562">
            <w:pPr>
              <w:jc w:val="center"/>
              <w:rPr>
                <w:b/>
              </w:rPr>
            </w:pPr>
            <w:r w:rsidRPr="00A071E3">
              <w:rPr>
                <w:b/>
              </w:rPr>
              <w:t>Notes</w:t>
            </w:r>
          </w:p>
        </w:tc>
        <w:tc>
          <w:tcPr>
            <w:tcW w:w="7026" w:type="dxa"/>
            <w:vAlign w:val="center"/>
          </w:tcPr>
          <w:p w:rsidR="00A071E3" w:rsidRPr="00A071E3" w:rsidRDefault="00A071E3" w:rsidP="00C01562">
            <w:pPr>
              <w:jc w:val="center"/>
              <w:rPr>
                <w:b/>
              </w:rPr>
            </w:pPr>
            <w:r w:rsidRPr="00A071E3">
              <w:rPr>
                <w:b/>
              </w:rPr>
              <w:t>Expense</w:t>
            </w:r>
          </w:p>
        </w:tc>
        <w:tc>
          <w:tcPr>
            <w:tcW w:w="1171" w:type="dxa"/>
            <w:vAlign w:val="center"/>
          </w:tcPr>
          <w:p w:rsidR="00C01562" w:rsidRDefault="00C01562" w:rsidP="00C01562">
            <w:pPr>
              <w:jc w:val="center"/>
              <w:rPr>
                <w:b/>
              </w:rPr>
            </w:pPr>
            <w:r>
              <w:rPr>
                <w:b/>
              </w:rPr>
              <w:t>PAsmart</w:t>
            </w:r>
          </w:p>
          <w:p w:rsidR="00A071E3" w:rsidRPr="00A071E3" w:rsidRDefault="00A071E3" w:rsidP="00C01562">
            <w:pPr>
              <w:jc w:val="center"/>
              <w:rPr>
                <w:b/>
              </w:rPr>
            </w:pPr>
            <w:r w:rsidRPr="00A071E3">
              <w:rPr>
                <w:b/>
              </w:rPr>
              <w:t>Year One</w:t>
            </w:r>
          </w:p>
          <w:p w:rsidR="00A071E3" w:rsidRPr="005F1986" w:rsidRDefault="005F1986" w:rsidP="00C01562">
            <w:pPr>
              <w:jc w:val="center"/>
              <w:rPr>
                <w:sz w:val="18"/>
                <w:szCs w:val="18"/>
              </w:rPr>
            </w:pPr>
            <w:r w:rsidRPr="005F1986">
              <w:rPr>
                <w:sz w:val="18"/>
                <w:szCs w:val="18"/>
              </w:rPr>
              <w:t>2/1/20</w:t>
            </w:r>
            <w:r w:rsidR="007F03E1">
              <w:rPr>
                <w:sz w:val="18"/>
                <w:szCs w:val="18"/>
              </w:rPr>
              <w:t>20</w:t>
            </w:r>
            <w:r w:rsidRPr="005F1986">
              <w:rPr>
                <w:sz w:val="18"/>
                <w:szCs w:val="18"/>
              </w:rPr>
              <w:t xml:space="preserve"> to 6/30/20</w:t>
            </w:r>
            <w:r w:rsidR="007F03E1">
              <w:rPr>
                <w:sz w:val="18"/>
                <w:szCs w:val="18"/>
              </w:rPr>
              <w:t>20</w:t>
            </w:r>
          </w:p>
        </w:tc>
        <w:tc>
          <w:tcPr>
            <w:tcW w:w="1170" w:type="dxa"/>
            <w:vAlign w:val="center"/>
          </w:tcPr>
          <w:p w:rsidR="00C01562" w:rsidRDefault="00C01562" w:rsidP="00C01562">
            <w:pPr>
              <w:jc w:val="center"/>
              <w:rPr>
                <w:b/>
              </w:rPr>
            </w:pPr>
            <w:r>
              <w:rPr>
                <w:b/>
              </w:rPr>
              <w:t>PAsmart</w:t>
            </w:r>
          </w:p>
          <w:p w:rsidR="00A071E3" w:rsidRPr="00A071E3" w:rsidRDefault="00A071E3" w:rsidP="00C01562">
            <w:pPr>
              <w:jc w:val="center"/>
              <w:rPr>
                <w:b/>
              </w:rPr>
            </w:pPr>
            <w:r w:rsidRPr="00A071E3">
              <w:rPr>
                <w:b/>
              </w:rPr>
              <w:t>Year Two</w:t>
            </w:r>
          </w:p>
          <w:p w:rsidR="00A071E3" w:rsidRDefault="005F1986" w:rsidP="00C01562">
            <w:pPr>
              <w:jc w:val="center"/>
            </w:pPr>
            <w:r>
              <w:rPr>
                <w:sz w:val="18"/>
                <w:szCs w:val="18"/>
              </w:rPr>
              <w:t>7/1</w:t>
            </w:r>
            <w:r w:rsidRPr="005F1986">
              <w:rPr>
                <w:sz w:val="18"/>
                <w:szCs w:val="18"/>
              </w:rPr>
              <w:t>/20</w:t>
            </w:r>
            <w:r w:rsidR="007F03E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to 6/30/202</w:t>
            </w:r>
            <w:r w:rsidR="007F03E1">
              <w:rPr>
                <w:sz w:val="18"/>
                <w:szCs w:val="18"/>
              </w:rPr>
              <w:t>1</w:t>
            </w:r>
          </w:p>
        </w:tc>
        <w:tc>
          <w:tcPr>
            <w:tcW w:w="1170" w:type="dxa"/>
            <w:vAlign w:val="center"/>
          </w:tcPr>
          <w:p w:rsidR="00A071E3" w:rsidRPr="00A071E3" w:rsidRDefault="00A071E3" w:rsidP="00C01562">
            <w:pPr>
              <w:jc w:val="center"/>
              <w:rPr>
                <w:b/>
              </w:rPr>
            </w:pPr>
            <w:r w:rsidRPr="00A071E3">
              <w:rPr>
                <w:b/>
              </w:rPr>
              <w:t>Match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A071E3" w:rsidRPr="00A071E3" w:rsidRDefault="00A071E3" w:rsidP="00C01562">
            <w:pPr>
              <w:jc w:val="center"/>
              <w:rPr>
                <w:b/>
              </w:rPr>
            </w:pPr>
            <w:r w:rsidRPr="00A071E3">
              <w:rPr>
                <w:b/>
              </w:rPr>
              <w:t>Total</w:t>
            </w:r>
            <w:r w:rsidR="00BA30DE">
              <w:rPr>
                <w:b/>
              </w:rPr>
              <w:t xml:space="preserve"> Expenses</w:t>
            </w:r>
          </w:p>
        </w:tc>
      </w:tr>
      <w:tr w:rsidR="00A071E3" w:rsidTr="00EF3DAA">
        <w:tc>
          <w:tcPr>
            <w:tcW w:w="12590" w:type="dxa"/>
            <w:gridSpan w:val="6"/>
            <w:shd w:val="clear" w:color="auto" w:fill="D9E2F3" w:themeFill="accent1" w:themeFillTint="33"/>
          </w:tcPr>
          <w:p w:rsidR="00A071E3" w:rsidRPr="00A071E3" w:rsidRDefault="00510E9F" w:rsidP="00C01562">
            <w:pPr>
              <w:rPr>
                <w:b/>
              </w:rPr>
            </w:pPr>
            <w:r>
              <w:rPr>
                <w:b/>
              </w:rPr>
              <w:t>Administration</w:t>
            </w:r>
            <w:r w:rsidR="00C01562">
              <w:rPr>
                <w:rStyle w:val="FootnoteReference"/>
                <w:b/>
              </w:rPr>
              <w:footnoteReference w:id="1"/>
            </w:r>
          </w:p>
        </w:tc>
      </w:tr>
      <w:tr w:rsidR="001906FB" w:rsidTr="00EF3DAA">
        <w:tc>
          <w:tcPr>
            <w:tcW w:w="888" w:type="dxa"/>
          </w:tcPr>
          <w:p w:rsidR="00510E9F" w:rsidRDefault="00510E9F" w:rsidP="00C01562"/>
        </w:tc>
        <w:tc>
          <w:tcPr>
            <w:tcW w:w="7026" w:type="dxa"/>
          </w:tcPr>
          <w:p w:rsidR="00A071E3" w:rsidRDefault="00510E9F" w:rsidP="00C01562">
            <w:r>
              <w:t xml:space="preserve">Salaries </w:t>
            </w:r>
          </w:p>
        </w:tc>
        <w:tc>
          <w:tcPr>
            <w:tcW w:w="1171" w:type="dxa"/>
          </w:tcPr>
          <w:p w:rsidR="00A071E3" w:rsidRDefault="00510E9F" w:rsidP="00C01562">
            <w:r>
              <w:t>$</w:t>
            </w:r>
          </w:p>
        </w:tc>
        <w:tc>
          <w:tcPr>
            <w:tcW w:w="1170" w:type="dxa"/>
          </w:tcPr>
          <w:p w:rsidR="00A071E3" w:rsidRDefault="00510E9F" w:rsidP="00C01562">
            <w:r>
              <w:t>$</w:t>
            </w:r>
          </w:p>
        </w:tc>
        <w:tc>
          <w:tcPr>
            <w:tcW w:w="1170" w:type="dxa"/>
          </w:tcPr>
          <w:p w:rsidR="00A071E3" w:rsidRDefault="00510E9F" w:rsidP="00C01562">
            <w:r>
              <w:t>$</w:t>
            </w:r>
          </w:p>
        </w:tc>
        <w:tc>
          <w:tcPr>
            <w:tcW w:w="1165" w:type="dxa"/>
            <w:shd w:val="clear" w:color="auto" w:fill="D9E2F3" w:themeFill="accent1" w:themeFillTint="33"/>
          </w:tcPr>
          <w:p w:rsidR="00A071E3" w:rsidRDefault="00510E9F" w:rsidP="00C01562">
            <w:r>
              <w:t>$</w:t>
            </w:r>
          </w:p>
        </w:tc>
      </w:tr>
      <w:tr w:rsidR="00C01562" w:rsidTr="00EF3DAA">
        <w:tc>
          <w:tcPr>
            <w:tcW w:w="888" w:type="dxa"/>
          </w:tcPr>
          <w:p w:rsidR="00C01562" w:rsidRDefault="00C01562" w:rsidP="00C01562"/>
        </w:tc>
        <w:tc>
          <w:tcPr>
            <w:tcW w:w="7026" w:type="dxa"/>
          </w:tcPr>
          <w:p w:rsidR="00C01562" w:rsidRDefault="00C01562" w:rsidP="00C01562">
            <w:r>
              <w:t>Fringe Benefits</w:t>
            </w:r>
          </w:p>
        </w:tc>
        <w:tc>
          <w:tcPr>
            <w:tcW w:w="1171" w:type="dxa"/>
          </w:tcPr>
          <w:p w:rsidR="00C01562" w:rsidRDefault="00C01562" w:rsidP="00C01562">
            <w:r>
              <w:t>$</w:t>
            </w:r>
          </w:p>
        </w:tc>
        <w:tc>
          <w:tcPr>
            <w:tcW w:w="1170" w:type="dxa"/>
          </w:tcPr>
          <w:p w:rsidR="00C01562" w:rsidRDefault="00C01562" w:rsidP="00C01562">
            <w:r>
              <w:t>$</w:t>
            </w:r>
          </w:p>
        </w:tc>
        <w:tc>
          <w:tcPr>
            <w:tcW w:w="1170" w:type="dxa"/>
          </w:tcPr>
          <w:p w:rsidR="00C01562" w:rsidRDefault="00C01562" w:rsidP="00C01562">
            <w:r>
              <w:t>$</w:t>
            </w:r>
          </w:p>
        </w:tc>
        <w:tc>
          <w:tcPr>
            <w:tcW w:w="1165" w:type="dxa"/>
            <w:shd w:val="clear" w:color="auto" w:fill="D9E2F3" w:themeFill="accent1" w:themeFillTint="33"/>
          </w:tcPr>
          <w:p w:rsidR="00C01562" w:rsidRDefault="00C01562" w:rsidP="00C01562">
            <w:r>
              <w:t>$</w:t>
            </w:r>
          </w:p>
        </w:tc>
      </w:tr>
      <w:tr w:rsidR="00C01562" w:rsidTr="00EF3DAA">
        <w:tc>
          <w:tcPr>
            <w:tcW w:w="888" w:type="dxa"/>
          </w:tcPr>
          <w:p w:rsidR="00A071E3" w:rsidRDefault="00A071E3" w:rsidP="00C01562"/>
        </w:tc>
        <w:tc>
          <w:tcPr>
            <w:tcW w:w="7026" w:type="dxa"/>
          </w:tcPr>
          <w:p w:rsidR="00A071E3" w:rsidRDefault="00510E9F" w:rsidP="00C01562">
            <w:r>
              <w:t>Operations (e.g. travel, post</w:t>
            </w:r>
            <w:r w:rsidR="00C01562">
              <w:t xml:space="preserve">age, printing, office supplies, </w:t>
            </w:r>
            <w:r>
              <w:t>etc.)</w:t>
            </w:r>
            <w:r w:rsidR="00C01562">
              <w:rPr>
                <w:rStyle w:val="FootnoteReference"/>
              </w:rPr>
              <w:footnoteReference w:id="2"/>
            </w:r>
          </w:p>
        </w:tc>
        <w:tc>
          <w:tcPr>
            <w:tcW w:w="1171" w:type="dxa"/>
          </w:tcPr>
          <w:p w:rsidR="00A071E3" w:rsidRDefault="00510E9F" w:rsidP="00C01562">
            <w:r>
              <w:t>$</w:t>
            </w:r>
          </w:p>
        </w:tc>
        <w:tc>
          <w:tcPr>
            <w:tcW w:w="1170" w:type="dxa"/>
          </w:tcPr>
          <w:p w:rsidR="00A071E3" w:rsidRDefault="00510E9F" w:rsidP="00C01562">
            <w:r>
              <w:t>$</w:t>
            </w:r>
          </w:p>
        </w:tc>
        <w:tc>
          <w:tcPr>
            <w:tcW w:w="1170" w:type="dxa"/>
          </w:tcPr>
          <w:p w:rsidR="00A071E3" w:rsidRDefault="00510E9F" w:rsidP="00C01562">
            <w:r>
              <w:t>$</w:t>
            </w:r>
          </w:p>
        </w:tc>
        <w:tc>
          <w:tcPr>
            <w:tcW w:w="1165" w:type="dxa"/>
            <w:shd w:val="clear" w:color="auto" w:fill="D9E2F3" w:themeFill="accent1" w:themeFillTint="33"/>
          </w:tcPr>
          <w:p w:rsidR="00A071E3" w:rsidRDefault="00510E9F" w:rsidP="00C01562">
            <w:r>
              <w:t>$</w:t>
            </w:r>
          </w:p>
        </w:tc>
      </w:tr>
      <w:tr w:rsidR="00924DA7" w:rsidTr="00EF3DAA">
        <w:tc>
          <w:tcPr>
            <w:tcW w:w="888" w:type="dxa"/>
          </w:tcPr>
          <w:p w:rsidR="00924DA7" w:rsidRDefault="00924DA7" w:rsidP="00C01562"/>
        </w:tc>
        <w:tc>
          <w:tcPr>
            <w:tcW w:w="7026" w:type="dxa"/>
          </w:tcPr>
          <w:p w:rsidR="00924DA7" w:rsidRDefault="00924DA7" w:rsidP="00C01562">
            <w:r>
              <w:t>Communications</w:t>
            </w:r>
            <w:r w:rsidR="00112DEF">
              <w:rPr>
                <w:rStyle w:val="FootnoteReference"/>
              </w:rPr>
              <w:footnoteReference w:id="3"/>
            </w:r>
          </w:p>
        </w:tc>
        <w:tc>
          <w:tcPr>
            <w:tcW w:w="1171" w:type="dxa"/>
          </w:tcPr>
          <w:p w:rsidR="00924DA7" w:rsidRDefault="00924DA7" w:rsidP="00C01562">
            <w:r>
              <w:t>$</w:t>
            </w:r>
          </w:p>
        </w:tc>
        <w:tc>
          <w:tcPr>
            <w:tcW w:w="1170" w:type="dxa"/>
          </w:tcPr>
          <w:p w:rsidR="00924DA7" w:rsidRDefault="00924DA7" w:rsidP="00C01562">
            <w:r>
              <w:t>$</w:t>
            </w:r>
          </w:p>
        </w:tc>
        <w:tc>
          <w:tcPr>
            <w:tcW w:w="1170" w:type="dxa"/>
          </w:tcPr>
          <w:p w:rsidR="00924DA7" w:rsidRDefault="00924DA7" w:rsidP="00C01562">
            <w:r>
              <w:t>$</w:t>
            </w:r>
          </w:p>
        </w:tc>
        <w:tc>
          <w:tcPr>
            <w:tcW w:w="1165" w:type="dxa"/>
            <w:shd w:val="clear" w:color="auto" w:fill="D9E2F3" w:themeFill="accent1" w:themeFillTint="33"/>
          </w:tcPr>
          <w:p w:rsidR="00924DA7" w:rsidRDefault="00924DA7" w:rsidP="00C01562">
            <w:r>
              <w:t>$</w:t>
            </w:r>
          </w:p>
        </w:tc>
      </w:tr>
      <w:tr w:rsidR="00A071E3" w:rsidTr="00EF3DAA">
        <w:tc>
          <w:tcPr>
            <w:tcW w:w="12590" w:type="dxa"/>
            <w:gridSpan w:val="6"/>
            <w:shd w:val="clear" w:color="auto" w:fill="D9E2F3" w:themeFill="accent1" w:themeFillTint="33"/>
          </w:tcPr>
          <w:p w:rsidR="00A071E3" w:rsidRPr="00A071E3" w:rsidRDefault="00A071E3" w:rsidP="00C01562">
            <w:pPr>
              <w:rPr>
                <w:b/>
              </w:rPr>
            </w:pPr>
            <w:r w:rsidRPr="00A071E3">
              <w:rPr>
                <w:b/>
              </w:rPr>
              <w:t>Program</w:t>
            </w:r>
          </w:p>
        </w:tc>
      </w:tr>
      <w:tr w:rsidR="001906FB" w:rsidTr="00EF3DAA">
        <w:tc>
          <w:tcPr>
            <w:tcW w:w="888" w:type="dxa"/>
          </w:tcPr>
          <w:p w:rsidR="00A071E3" w:rsidRDefault="00A071E3" w:rsidP="00C01562"/>
        </w:tc>
        <w:tc>
          <w:tcPr>
            <w:tcW w:w="7026" w:type="dxa"/>
          </w:tcPr>
          <w:p w:rsidR="00A071E3" w:rsidRDefault="00BA30DE" w:rsidP="00C01562">
            <w:r>
              <w:t>Direct Educational Services</w:t>
            </w:r>
          </w:p>
        </w:tc>
        <w:tc>
          <w:tcPr>
            <w:tcW w:w="1171" w:type="dxa"/>
          </w:tcPr>
          <w:p w:rsidR="00A071E3" w:rsidRDefault="00BA30DE" w:rsidP="00C01562">
            <w:r>
              <w:t>$</w:t>
            </w:r>
          </w:p>
        </w:tc>
        <w:tc>
          <w:tcPr>
            <w:tcW w:w="1170" w:type="dxa"/>
          </w:tcPr>
          <w:p w:rsidR="00A071E3" w:rsidRDefault="00BA30DE" w:rsidP="00C01562">
            <w:r>
              <w:t>$</w:t>
            </w:r>
          </w:p>
        </w:tc>
        <w:tc>
          <w:tcPr>
            <w:tcW w:w="1170" w:type="dxa"/>
          </w:tcPr>
          <w:p w:rsidR="00A071E3" w:rsidRDefault="00BA30DE" w:rsidP="00C01562">
            <w:r>
              <w:t>$</w:t>
            </w:r>
          </w:p>
        </w:tc>
        <w:tc>
          <w:tcPr>
            <w:tcW w:w="1165" w:type="dxa"/>
            <w:shd w:val="clear" w:color="auto" w:fill="D9E2F3" w:themeFill="accent1" w:themeFillTint="33"/>
          </w:tcPr>
          <w:p w:rsidR="00A071E3" w:rsidRDefault="00BA30DE" w:rsidP="00C01562">
            <w:r>
              <w:t>$</w:t>
            </w:r>
          </w:p>
        </w:tc>
      </w:tr>
      <w:tr w:rsidR="00C01562" w:rsidTr="00EF3DAA">
        <w:tc>
          <w:tcPr>
            <w:tcW w:w="888" w:type="dxa"/>
          </w:tcPr>
          <w:p w:rsidR="00A071E3" w:rsidRDefault="00A071E3" w:rsidP="00C01562"/>
        </w:tc>
        <w:tc>
          <w:tcPr>
            <w:tcW w:w="7026" w:type="dxa"/>
          </w:tcPr>
          <w:p w:rsidR="00A071E3" w:rsidRDefault="00BA30DE" w:rsidP="00C01562">
            <w:r>
              <w:t>Direct Workforce Services</w:t>
            </w:r>
          </w:p>
        </w:tc>
        <w:tc>
          <w:tcPr>
            <w:tcW w:w="1171" w:type="dxa"/>
          </w:tcPr>
          <w:p w:rsidR="00A071E3" w:rsidRDefault="00BA30DE" w:rsidP="00C01562">
            <w:r>
              <w:t>$</w:t>
            </w:r>
          </w:p>
        </w:tc>
        <w:tc>
          <w:tcPr>
            <w:tcW w:w="1170" w:type="dxa"/>
          </w:tcPr>
          <w:p w:rsidR="00A071E3" w:rsidRDefault="00BA30DE" w:rsidP="00C01562">
            <w:r>
              <w:t>$</w:t>
            </w:r>
          </w:p>
        </w:tc>
        <w:tc>
          <w:tcPr>
            <w:tcW w:w="1170" w:type="dxa"/>
          </w:tcPr>
          <w:p w:rsidR="00A071E3" w:rsidRDefault="00BA30DE" w:rsidP="00C01562">
            <w:r>
              <w:t>$</w:t>
            </w:r>
          </w:p>
        </w:tc>
        <w:tc>
          <w:tcPr>
            <w:tcW w:w="1165" w:type="dxa"/>
            <w:shd w:val="clear" w:color="auto" w:fill="D9E2F3" w:themeFill="accent1" w:themeFillTint="33"/>
          </w:tcPr>
          <w:p w:rsidR="00A071E3" w:rsidRDefault="00BA30DE" w:rsidP="00C01562">
            <w:r>
              <w:t>$</w:t>
            </w:r>
          </w:p>
        </w:tc>
      </w:tr>
      <w:tr w:rsidR="00C01562" w:rsidTr="00EF3DAA">
        <w:tc>
          <w:tcPr>
            <w:tcW w:w="888" w:type="dxa"/>
          </w:tcPr>
          <w:p w:rsidR="00A071E3" w:rsidRDefault="00A071E3" w:rsidP="00C01562"/>
        </w:tc>
        <w:tc>
          <w:tcPr>
            <w:tcW w:w="7026" w:type="dxa"/>
          </w:tcPr>
          <w:p w:rsidR="00A071E3" w:rsidRDefault="00BA30DE" w:rsidP="00C01562">
            <w:r>
              <w:t xml:space="preserve">Curriculum Development </w:t>
            </w:r>
          </w:p>
        </w:tc>
        <w:tc>
          <w:tcPr>
            <w:tcW w:w="1171" w:type="dxa"/>
          </w:tcPr>
          <w:p w:rsidR="00A071E3" w:rsidRDefault="00BA30DE" w:rsidP="00C01562">
            <w:r>
              <w:t>$</w:t>
            </w:r>
          </w:p>
        </w:tc>
        <w:tc>
          <w:tcPr>
            <w:tcW w:w="1170" w:type="dxa"/>
          </w:tcPr>
          <w:p w:rsidR="00A071E3" w:rsidRDefault="00BA30DE" w:rsidP="00C01562">
            <w:r>
              <w:t>$</w:t>
            </w:r>
          </w:p>
        </w:tc>
        <w:tc>
          <w:tcPr>
            <w:tcW w:w="1170" w:type="dxa"/>
          </w:tcPr>
          <w:p w:rsidR="00A071E3" w:rsidRDefault="00BA30DE" w:rsidP="00C01562">
            <w:r>
              <w:t>$</w:t>
            </w:r>
          </w:p>
        </w:tc>
        <w:tc>
          <w:tcPr>
            <w:tcW w:w="1165" w:type="dxa"/>
            <w:shd w:val="clear" w:color="auto" w:fill="D9E2F3" w:themeFill="accent1" w:themeFillTint="33"/>
          </w:tcPr>
          <w:p w:rsidR="00A071E3" w:rsidRDefault="00BA30DE" w:rsidP="00C01562">
            <w:r>
              <w:t>$</w:t>
            </w:r>
          </w:p>
        </w:tc>
      </w:tr>
      <w:tr w:rsidR="00C01562" w:rsidTr="00EF3DAA">
        <w:tc>
          <w:tcPr>
            <w:tcW w:w="888" w:type="dxa"/>
          </w:tcPr>
          <w:p w:rsidR="00A071E3" w:rsidRDefault="00A071E3" w:rsidP="00C01562"/>
        </w:tc>
        <w:tc>
          <w:tcPr>
            <w:tcW w:w="7026" w:type="dxa"/>
          </w:tcPr>
          <w:p w:rsidR="00A071E3" w:rsidRDefault="00BA30DE" w:rsidP="00C01562">
            <w:r>
              <w:t>Testing and Instructional Materials</w:t>
            </w:r>
          </w:p>
        </w:tc>
        <w:tc>
          <w:tcPr>
            <w:tcW w:w="1171" w:type="dxa"/>
          </w:tcPr>
          <w:p w:rsidR="00A071E3" w:rsidRDefault="00BA30DE" w:rsidP="00C01562">
            <w:r>
              <w:t>$</w:t>
            </w:r>
          </w:p>
        </w:tc>
        <w:tc>
          <w:tcPr>
            <w:tcW w:w="1170" w:type="dxa"/>
          </w:tcPr>
          <w:p w:rsidR="00A071E3" w:rsidRDefault="00BA30DE" w:rsidP="00C01562">
            <w:r>
              <w:t>$</w:t>
            </w:r>
          </w:p>
        </w:tc>
        <w:tc>
          <w:tcPr>
            <w:tcW w:w="1170" w:type="dxa"/>
          </w:tcPr>
          <w:p w:rsidR="00A071E3" w:rsidRDefault="00BA30DE" w:rsidP="00C01562">
            <w:r>
              <w:t>$</w:t>
            </w:r>
          </w:p>
        </w:tc>
        <w:tc>
          <w:tcPr>
            <w:tcW w:w="1165" w:type="dxa"/>
            <w:shd w:val="clear" w:color="auto" w:fill="D9E2F3" w:themeFill="accent1" w:themeFillTint="33"/>
          </w:tcPr>
          <w:p w:rsidR="00A071E3" w:rsidRDefault="00BA30DE" w:rsidP="00C01562">
            <w:r>
              <w:t>$</w:t>
            </w:r>
          </w:p>
        </w:tc>
      </w:tr>
      <w:tr w:rsidR="00C01562" w:rsidTr="00EF3DAA">
        <w:tc>
          <w:tcPr>
            <w:tcW w:w="888" w:type="dxa"/>
          </w:tcPr>
          <w:p w:rsidR="00A071E3" w:rsidRDefault="00A071E3" w:rsidP="00C01562"/>
        </w:tc>
        <w:tc>
          <w:tcPr>
            <w:tcW w:w="7026" w:type="dxa"/>
          </w:tcPr>
          <w:p w:rsidR="00A071E3" w:rsidRDefault="00BA30DE" w:rsidP="00C01562">
            <w:r>
              <w:t>Outreach/Recruitment</w:t>
            </w:r>
          </w:p>
        </w:tc>
        <w:tc>
          <w:tcPr>
            <w:tcW w:w="1171" w:type="dxa"/>
          </w:tcPr>
          <w:p w:rsidR="00A071E3" w:rsidRDefault="00BA30DE" w:rsidP="00C01562">
            <w:r>
              <w:t>$</w:t>
            </w:r>
          </w:p>
        </w:tc>
        <w:tc>
          <w:tcPr>
            <w:tcW w:w="1170" w:type="dxa"/>
          </w:tcPr>
          <w:p w:rsidR="00A071E3" w:rsidRDefault="00BA30DE" w:rsidP="00C01562">
            <w:r>
              <w:t>$</w:t>
            </w:r>
          </w:p>
        </w:tc>
        <w:tc>
          <w:tcPr>
            <w:tcW w:w="1170" w:type="dxa"/>
          </w:tcPr>
          <w:p w:rsidR="00A071E3" w:rsidRDefault="00BA30DE" w:rsidP="00C01562">
            <w:r>
              <w:t>$</w:t>
            </w:r>
          </w:p>
        </w:tc>
        <w:tc>
          <w:tcPr>
            <w:tcW w:w="1165" w:type="dxa"/>
            <w:shd w:val="clear" w:color="auto" w:fill="D9E2F3" w:themeFill="accent1" w:themeFillTint="33"/>
          </w:tcPr>
          <w:p w:rsidR="00A071E3" w:rsidRDefault="00BA30DE" w:rsidP="00C01562">
            <w:r>
              <w:t>$</w:t>
            </w:r>
          </w:p>
        </w:tc>
      </w:tr>
      <w:tr w:rsidR="00C01562" w:rsidTr="00EF3DAA">
        <w:tc>
          <w:tcPr>
            <w:tcW w:w="888" w:type="dxa"/>
          </w:tcPr>
          <w:p w:rsidR="00A071E3" w:rsidRDefault="00A071E3" w:rsidP="00C01562"/>
        </w:tc>
        <w:tc>
          <w:tcPr>
            <w:tcW w:w="7026" w:type="dxa"/>
          </w:tcPr>
          <w:p w:rsidR="00A071E3" w:rsidRDefault="00BA30DE" w:rsidP="00C01562">
            <w:r>
              <w:t>Support Services</w:t>
            </w:r>
          </w:p>
        </w:tc>
        <w:tc>
          <w:tcPr>
            <w:tcW w:w="1171" w:type="dxa"/>
          </w:tcPr>
          <w:p w:rsidR="00A071E3" w:rsidRDefault="00BA30DE" w:rsidP="00C01562">
            <w:r>
              <w:t>$</w:t>
            </w:r>
          </w:p>
        </w:tc>
        <w:tc>
          <w:tcPr>
            <w:tcW w:w="1170" w:type="dxa"/>
          </w:tcPr>
          <w:p w:rsidR="00A071E3" w:rsidRDefault="00BA30DE" w:rsidP="00C01562">
            <w:r>
              <w:t>$</w:t>
            </w:r>
          </w:p>
        </w:tc>
        <w:tc>
          <w:tcPr>
            <w:tcW w:w="1170" w:type="dxa"/>
          </w:tcPr>
          <w:p w:rsidR="00A071E3" w:rsidRDefault="00BA30DE" w:rsidP="00C01562">
            <w:r>
              <w:t>$</w:t>
            </w:r>
          </w:p>
        </w:tc>
        <w:tc>
          <w:tcPr>
            <w:tcW w:w="1165" w:type="dxa"/>
            <w:shd w:val="clear" w:color="auto" w:fill="D9E2F3" w:themeFill="accent1" w:themeFillTint="33"/>
          </w:tcPr>
          <w:p w:rsidR="00A071E3" w:rsidRDefault="00BA30DE" w:rsidP="00C01562">
            <w:r>
              <w:t>$</w:t>
            </w:r>
          </w:p>
        </w:tc>
      </w:tr>
      <w:tr w:rsidR="00A071E3" w:rsidTr="00EF3DAA">
        <w:tc>
          <w:tcPr>
            <w:tcW w:w="12590" w:type="dxa"/>
            <w:gridSpan w:val="6"/>
            <w:shd w:val="clear" w:color="auto" w:fill="D9E2F3" w:themeFill="accent1" w:themeFillTint="33"/>
          </w:tcPr>
          <w:p w:rsidR="00A071E3" w:rsidRPr="00A071E3" w:rsidRDefault="00A071E3" w:rsidP="00C01562">
            <w:pPr>
              <w:rPr>
                <w:b/>
              </w:rPr>
            </w:pPr>
            <w:r w:rsidRPr="00A071E3">
              <w:rPr>
                <w:b/>
              </w:rPr>
              <w:t>Other</w:t>
            </w:r>
          </w:p>
        </w:tc>
      </w:tr>
      <w:tr w:rsidR="00C01562" w:rsidTr="00EF3DAA">
        <w:tc>
          <w:tcPr>
            <w:tcW w:w="888" w:type="dxa"/>
          </w:tcPr>
          <w:p w:rsidR="00A071E3" w:rsidRDefault="00A071E3" w:rsidP="00C01562"/>
        </w:tc>
        <w:tc>
          <w:tcPr>
            <w:tcW w:w="7026" w:type="dxa"/>
          </w:tcPr>
          <w:p w:rsidR="00A071E3" w:rsidRDefault="00BA30DE" w:rsidP="00C01562">
            <w:r>
              <w:t>Contracted Services</w:t>
            </w:r>
            <w:r w:rsidR="001748C6">
              <w:t xml:space="preserve"> - Specify</w:t>
            </w:r>
          </w:p>
        </w:tc>
        <w:tc>
          <w:tcPr>
            <w:tcW w:w="1171" w:type="dxa"/>
          </w:tcPr>
          <w:p w:rsidR="00A071E3" w:rsidRDefault="00BA30DE" w:rsidP="00C01562">
            <w:r>
              <w:t>$</w:t>
            </w:r>
          </w:p>
        </w:tc>
        <w:tc>
          <w:tcPr>
            <w:tcW w:w="1170" w:type="dxa"/>
          </w:tcPr>
          <w:p w:rsidR="00A071E3" w:rsidRDefault="00BA30DE" w:rsidP="00C01562">
            <w:r>
              <w:t>$</w:t>
            </w:r>
          </w:p>
        </w:tc>
        <w:tc>
          <w:tcPr>
            <w:tcW w:w="1170" w:type="dxa"/>
          </w:tcPr>
          <w:p w:rsidR="00A071E3" w:rsidRDefault="00BA30DE" w:rsidP="00C01562">
            <w:r>
              <w:t>$</w:t>
            </w:r>
          </w:p>
        </w:tc>
        <w:tc>
          <w:tcPr>
            <w:tcW w:w="1165" w:type="dxa"/>
            <w:shd w:val="clear" w:color="auto" w:fill="D9E2F3" w:themeFill="accent1" w:themeFillTint="33"/>
          </w:tcPr>
          <w:p w:rsidR="00A071E3" w:rsidRDefault="00BA30DE" w:rsidP="00C01562">
            <w:r>
              <w:t>$</w:t>
            </w:r>
          </w:p>
        </w:tc>
      </w:tr>
      <w:tr w:rsidR="00C01562" w:rsidTr="00EF3DAA">
        <w:tc>
          <w:tcPr>
            <w:tcW w:w="888" w:type="dxa"/>
          </w:tcPr>
          <w:p w:rsidR="00A071E3" w:rsidRDefault="00A071E3" w:rsidP="00C01562"/>
        </w:tc>
        <w:tc>
          <w:tcPr>
            <w:tcW w:w="7026" w:type="dxa"/>
          </w:tcPr>
          <w:p w:rsidR="00A071E3" w:rsidRDefault="00BA30DE" w:rsidP="00C01562">
            <w:r>
              <w:t>Other Expenses - Specify</w:t>
            </w:r>
          </w:p>
        </w:tc>
        <w:tc>
          <w:tcPr>
            <w:tcW w:w="1171" w:type="dxa"/>
          </w:tcPr>
          <w:p w:rsidR="00A071E3" w:rsidRDefault="00BA30DE" w:rsidP="00C01562">
            <w:r>
              <w:t>$</w:t>
            </w:r>
          </w:p>
        </w:tc>
        <w:tc>
          <w:tcPr>
            <w:tcW w:w="1170" w:type="dxa"/>
          </w:tcPr>
          <w:p w:rsidR="00A071E3" w:rsidRDefault="00BA30DE" w:rsidP="00C01562">
            <w:r>
              <w:t>$</w:t>
            </w:r>
          </w:p>
        </w:tc>
        <w:tc>
          <w:tcPr>
            <w:tcW w:w="1170" w:type="dxa"/>
          </w:tcPr>
          <w:p w:rsidR="00A071E3" w:rsidRDefault="00BA30DE" w:rsidP="00C01562">
            <w:r>
              <w:t>$</w:t>
            </w:r>
          </w:p>
        </w:tc>
        <w:tc>
          <w:tcPr>
            <w:tcW w:w="1165" w:type="dxa"/>
            <w:shd w:val="clear" w:color="auto" w:fill="D9E2F3" w:themeFill="accent1" w:themeFillTint="33"/>
          </w:tcPr>
          <w:p w:rsidR="00A071E3" w:rsidRDefault="00BA30DE" w:rsidP="00C01562">
            <w:r>
              <w:t>$</w:t>
            </w:r>
          </w:p>
        </w:tc>
      </w:tr>
      <w:tr w:rsidR="00BA30DE" w:rsidTr="00EF3DAA">
        <w:tc>
          <w:tcPr>
            <w:tcW w:w="7914" w:type="dxa"/>
            <w:gridSpan w:val="2"/>
            <w:shd w:val="clear" w:color="auto" w:fill="D9E2F3" w:themeFill="accent1" w:themeFillTint="33"/>
          </w:tcPr>
          <w:p w:rsidR="00BA30DE" w:rsidRPr="00BA30DE" w:rsidRDefault="00BA30DE" w:rsidP="00C01562">
            <w:pPr>
              <w:rPr>
                <w:b/>
              </w:rPr>
            </w:pPr>
            <w:r w:rsidRPr="00BA30DE">
              <w:rPr>
                <w:b/>
              </w:rPr>
              <w:t>Total Expenses</w:t>
            </w:r>
          </w:p>
        </w:tc>
        <w:tc>
          <w:tcPr>
            <w:tcW w:w="1171" w:type="dxa"/>
            <w:shd w:val="clear" w:color="auto" w:fill="D9E2F3" w:themeFill="accent1" w:themeFillTint="33"/>
          </w:tcPr>
          <w:p w:rsidR="00BA30DE" w:rsidRDefault="00BA30DE" w:rsidP="00C01562">
            <w:r>
              <w:t>$</w:t>
            </w:r>
          </w:p>
        </w:tc>
        <w:tc>
          <w:tcPr>
            <w:tcW w:w="1170" w:type="dxa"/>
            <w:shd w:val="clear" w:color="auto" w:fill="D9E2F3" w:themeFill="accent1" w:themeFillTint="33"/>
          </w:tcPr>
          <w:p w:rsidR="00BA30DE" w:rsidRDefault="00BA30DE" w:rsidP="00C01562">
            <w:r>
              <w:t>$</w:t>
            </w:r>
          </w:p>
        </w:tc>
        <w:tc>
          <w:tcPr>
            <w:tcW w:w="1170" w:type="dxa"/>
            <w:shd w:val="clear" w:color="auto" w:fill="D9E2F3" w:themeFill="accent1" w:themeFillTint="33"/>
          </w:tcPr>
          <w:p w:rsidR="00BA30DE" w:rsidRDefault="00BA30DE" w:rsidP="00C01562">
            <w:r>
              <w:t>$</w:t>
            </w:r>
          </w:p>
        </w:tc>
        <w:tc>
          <w:tcPr>
            <w:tcW w:w="1165" w:type="dxa"/>
            <w:shd w:val="clear" w:color="auto" w:fill="D9E2F3" w:themeFill="accent1" w:themeFillTint="33"/>
          </w:tcPr>
          <w:p w:rsidR="00BA30DE" w:rsidRDefault="00BA30DE" w:rsidP="00C01562">
            <w:r>
              <w:t>$</w:t>
            </w:r>
          </w:p>
        </w:tc>
      </w:tr>
    </w:tbl>
    <w:p w:rsidR="00E0161A" w:rsidRDefault="00E0161A" w:rsidP="00112DEF">
      <w:pPr>
        <w:spacing w:after="0" w:line="240" w:lineRule="auto"/>
        <w:rPr>
          <w:b/>
        </w:rPr>
      </w:pPr>
    </w:p>
    <w:p w:rsidR="00B3463F" w:rsidRDefault="00B3463F" w:rsidP="00112DEF">
      <w:pPr>
        <w:spacing w:after="0" w:line="240" w:lineRule="auto"/>
        <w:rPr>
          <w:b/>
        </w:rPr>
      </w:pPr>
    </w:p>
    <w:p w:rsidR="00B3463F" w:rsidRDefault="00B3463F" w:rsidP="00112DEF">
      <w:pPr>
        <w:spacing w:after="0" w:line="240" w:lineRule="auto"/>
        <w:rPr>
          <w:b/>
        </w:rPr>
      </w:pPr>
    </w:p>
    <w:p w:rsidR="00B3463F" w:rsidRDefault="00B3463F" w:rsidP="00112DEF">
      <w:pPr>
        <w:spacing w:after="0" w:line="240" w:lineRule="auto"/>
        <w:rPr>
          <w:b/>
        </w:rPr>
      </w:pPr>
    </w:p>
    <w:p w:rsidR="00B3463F" w:rsidRDefault="00B3463F" w:rsidP="00112DEF">
      <w:pPr>
        <w:spacing w:after="0" w:line="240" w:lineRule="auto"/>
        <w:rPr>
          <w:b/>
        </w:rPr>
      </w:pPr>
    </w:p>
    <w:p w:rsidR="007F03E1" w:rsidRDefault="007F03E1" w:rsidP="00112DEF">
      <w:pPr>
        <w:spacing w:after="0" w:line="240" w:lineRule="auto"/>
        <w:rPr>
          <w:b/>
          <w:color w:val="1F3864" w:themeColor="accent1" w:themeShade="80"/>
        </w:rPr>
      </w:pPr>
    </w:p>
    <w:p w:rsidR="00623097" w:rsidRDefault="00623097" w:rsidP="00112DEF">
      <w:pPr>
        <w:spacing w:after="0" w:line="240" w:lineRule="auto"/>
        <w:rPr>
          <w:b/>
          <w:color w:val="1F3864" w:themeColor="accent1" w:themeShade="80"/>
        </w:rPr>
      </w:pPr>
    </w:p>
    <w:p w:rsidR="007F03E1" w:rsidRDefault="007F03E1" w:rsidP="00112DEF">
      <w:pPr>
        <w:spacing w:after="0" w:line="240" w:lineRule="auto"/>
        <w:rPr>
          <w:b/>
          <w:color w:val="1F3864" w:themeColor="accent1" w:themeShade="80"/>
        </w:rPr>
      </w:pPr>
    </w:p>
    <w:sectPr w:rsidR="007F03E1" w:rsidSect="00E0161A">
      <w:pgSz w:w="15840" w:h="12240" w:orient="landscape"/>
      <w:pgMar w:top="12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059" w:rsidRDefault="00030059" w:rsidP="00A071E3">
      <w:pPr>
        <w:spacing w:after="0" w:line="240" w:lineRule="auto"/>
      </w:pPr>
      <w:r>
        <w:separator/>
      </w:r>
    </w:p>
  </w:endnote>
  <w:endnote w:type="continuationSeparator" w:id="0">
    <w:p w:rsidR="00030059" w:rsidRDefault="00030059" w:rsidP="00A0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059" w:rsidRDefault="00030059" w:rsidP="00A071E3">
      <w:pPr>
        <w:spacing w:after="0" w:line="240" w:lineRule="auto"/>
      </w:pPr>
      <w:r>
        <w:separator/>
      </w:r>
    </w:p>
  </w:footnote>
  <w:footnote w:type="continuationSeparator" w:id="0">
    <w:p w:rsidR="00030059" w:rsidRDefault="00030059" w:rsidP="00A071E3">
      <w:pPr>
        <w:spacing w:after="0" w:line="240" w:lineRule="auto"/>
      </w:pPr>
      <w:r>
        <w:continuationSeparator/>
      </w:r>
    </w:p>
  </w:footnote>
  <w:footnote w:id="1">
    <w:p w:rsidR="00C01562" w:rsidRDefault="00C01562" w:rsidP="00112DEF">
      <w:pPr>
        <w:pStyle w:val="FootnoteText"/>
        <w:spacing w:before="0"/>
        <w:contextualSpacing/>
      </w:pPr>
      <w:r>
        <w:rPr>
          <w:rStyle w:val="FootnoteReference"/>
        </w:rPr>
        <w:footnoteRef/>
      </w:r>
      <w:r>
        <w:t xml:space="preserve"> Admin</w:t>
      </w:r>
      <w:r w:rsidR="00D1221D">
        <w:t>istrative costs cannot exceed 10 percent</w:t>
      </w:r>
      <w:r>
        <w:t xml:space="preserve"> of total PAsmart funds requested. </w:t>
      </w:r>
    </w:p>
  </w:footnote>
  <w:footnote w:id="2">
    <w:p w:rsidR="00C01562" w:rsidRDefault="00C01562" w:rsidP="00112DEF">
      <w:pPr>
        <w:pStyle w:val="FootnoteText"/>
        <w:spacing w:before="0"/>
        <w:contextualSpacing/>
      </w:pPr>
      <w:r>
        <w:rPr>
          <w:rStyle w:val="FootnoteReference"/>
        </w:rPr>
        <w:footnoteRef/>
      </w:r>
      <w:r>
        <w:t xml:space="preserve"> Define allowable operational expenses.</w:t>
      </w:r>
    </w:p>
  </w:footnote>
  <w:footnote w:id="3">
    <w:p w:rsidR="00112DEF" w:rsidRDefault="00112DEF" w:rsidP="00112DEF">
      <w:pPr>
        <w:pStyle w:val="FootnoteText"/>
        <w:spacing w:before="0"/>
      </w:pPr>
      <w:r>
        <w:rPr>
          <w:rStyle w:val="FootnoteReference"/>
        </w:rPr>
        <w:footnoteRef/>
      </w:r>
      <w:r>
        <w:t xml:space="preserve"> Communications includes phone, fax, internet, etc.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D7DC2"/>
    <w:multiLevelType w:val="hybridMultilevel"/>
    <w:tmpl w:val="7F149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2521B"/>
    <w:multiLevelType w:val="hybridMultilevel"/>
    <w:tmpl w:val="290612BC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77071C49"/>
    <w:multiLevelType w:val="hybridMultilevel"/>
    <w:tmpl w:val="B17ED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A53"/>
    <w:rsid w:val="00030059"/>
    <w:rsid w:val="00112DEF"/>
    <w:rsid w:val="001702B4"/>
    <w:rsid w:val="001748C6"/>
    <w:rsid w:val="001906FB"/>
    <w:rsid w:val="00246D54"/>
    <w:rsid w:val="0033219F"/>
    <w:rsid w:val="004A0305"/>
    <w:rsid w:val="00510E9F"/>
    <w:rsid w:val="005A667C"/>
    <w:rsid w:val="005B12B6"/>
    <w:rsid w:val="005F1986"/>
    <w:rsid w:val="00623097"/>
    <w:rsid w:val="00627A53"/>
    <w:rsid w:val="006F714C"/>
    <w:rsid w:val="007F03E1"/>
    <w:rsid w:val="00807E36"/>
    <w:rsid w:val="00874AD5"/>
    <w:rsid w:val="008860D6"/>
    <w:rsid w:val="00924DA7"/>
    <w:rsid w:val="009A354B"/>
    <w:rsid w:val="009A72CC"/>
    <w:rsid w:val="00A071E3"/>
    <w:rsid w:val="00A214FA"/>
    <w:rsid w:val="00A608DC"/>
    <w:rsid w:val="00B3463F"/>
    <w:rsid w:val="00BA30DE"/>
    <w:rsid w:val="00BE7871"/>
    <w:rsid w:val="00C01562"/>
    <w:rsid w:val="00C04C45"/>
    <w:rsid w:val="00D1221D"/>
    <w:rsid w:val="00D40BFD"/>
    <w:rsid w:val="00D5725C"/>
    <w:rsid w:val="00DF0C76"/>
    <w:rsid w:val="00E0161A"/>
    <w:rsid w:val="00EF3DAA"/>
    <w:rsid w:val="00F10CB6"/>
    <w:rsid w:val="00F30FDF"/>
    <w:rsid w:val="00F62DF3"/>
    <w:rsid w:val="00FF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56ECBC-BC70-433C-8F40-5F14F06D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071E3"/>
    <w:pPr>
      <w:keepNext/>
      <w:keepLines/>
      <w:spacing w:before="40" w:after="240" w:line="240" w:lineRule="auto"/>
      <w:outlineLvl w:val="6"/>
    </w:pPr>
    <w:rPr>
      <w:rFonts w:asciiTheme="majorHAnsi" w:eastAsiaTheme="majorEastAsia" w:hAnsiTheme="majorHAnsi" w:cstheme="majorBidi"/>
      <w:i/>
      <w:iCs/>
      <w:snapToGrid w:val="0"/>
      <w:color w:val="1F3763" w:themeColor="accent1" w:themeShade="7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A071E3"/>
    <w:rPr>
      <w:rFonts w:asciiTheme="majorHAnsi" w:eastAsiaTheme="majorEastAsia" w:hAnsiTheme="majorHAnsi" w:cstheme="majorBidi"/>
      <w:i/>
      <w:iCs/>
      <w:snapToGrid w:val="0"/>
      <w:color w:val="1F3763" w:themeColor="accent1" w:themeShade="7F"/>
      <w:szCs w:val="20"/>
    </w:rPr>
  </w:style>
  <w:style w:type="paragraph" w:styleId="NoSpacing">
    <w:name w:val="No Spacing"/>
    <w:basedOn w:val="Normal"/>
    <w:link w:val="NoSpacingChar"/>
    <w:uiPriority w:val="1"/>
    <w:qFormat/>
    <w:rsid w:val="00A071E3"/>
    <w:pPr>
      <w:widowControl w:val="0"/>
      <w:spacing w:before="120" w:after="0" w:line="240" w:lineRule="auto"/>
    </w:pPr>
    <w:rPr>
      <w:rFonts w:eastAsia="Times New Roman" w:cs="Times New Roman"/>
      <w:snapToGrid w:val="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A071E3"/>
    <w:rPr>
      <w:rFonts w:eastAsia="Times New Roman" w:cs="Times New Roman"/>
      <w:snapToGrid w:val="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71E3"/>
    <w:pPr>
      <w:spacing w:before="120" w:after="0" w:line="240" w:lineRule="auto"/>
    </w:pPr>
    <w:rPr>
      <w:rFonts w:eastAsia="Times New Roman" w:cs="Times New Roman"/>
      <w:snapToGrid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71E3"/>
    <w:rPr>
      <w:rFonts w:eastAsia="Times New Roman" w:cs="Times New Roman"/>
      <w:snapToGrid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71E3"/>
    <w:rPr>
      <w:vertAlign w:val="superscript"/>
    </w:rPr>
  </w:style>
  <w:style w:type="paragraph" w:styleId="ListParagraph">
    <w:name w:val="List Paragraph"/>
    <w:basedOn w:val="Normal"/>
    <w:uiPriority w:val="34"/>
    <w:qFormat/>
    <w:rsid w:val="00A071E3"/>
    <w:pPr>
      <w:ind w:left="720"/>
      <w:contextualSpacing/>
    </w:pPr>
  </w:style>
  <w:style w:type="table" w:styleId="TableGrid">
    <w:name w:val="Table Grid"/>
    <w:basedOn w:val="TableNormal"/>
    <w:uiPriority w:val="39"/>
    <w:rsid w:val="00A0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231081A0DF74892222EDBB73F1DEA" ma:contentTypeVersion="1" ma:contentTypeDescription="Create a new document." ma:contentTypeScope="" ma:versionID="9909adc1c091ff4b2247c837309619e0">
  <xsd:schema xmlns:xsd="http://www.w3.org/2001/XMLSchema" xmlns:xs="http://www.w3.org/2001/XMLSchema" xmlns:p="http://schemas.microsoft.com/office/2006/metadata/properties" xmlns:ns1="http://schemas.microsoft.com/sharepoint/v3" xmlns:ns2="b748ba19-add2-449e-9163-a62ce48df8ac" targetNamespace="http://schemas.microsoft.com/office/2006/metadata/properties" ma:root="true" ma:fieldsID="f610e2d93730cf601605f61c3cb7975f" ns1:_="" ns2:_="">
    <xsd:import namespace="http://schemas.microsoft.com/sharepoint/v3"/>
    <xsd:import namespace="b748ba19-add2-449e-9163-a62ce48df8a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8ba19-add2-449e-9163-a62ce48df8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b748ba19-add2-449e-9163-a62ce48df8a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39931C5-B523-40B8-A3B1-58002DB67E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ECBD96-C8FC-4421-A5AA-036B483F1AE0}"/>
</file>

<file path=customXml/itemProps3.xml><?xml version="1.0" encoding="utf-8"?>
<ds:datastoreItem xmlns:ds="http://schemas.openxmlformats.org/officeDocument/2006/customXml" ds:itemID="{78667E39-2A8A-4890-AD43-03D19EF0B9F3}"/>
</file>

<file path=customXml/itemProps4.xml><?xml version="1.0" encoding="utf-8"?>
<ds:datastoreItem xmlns:ds="http://schemas.openxmlformats.org/officeDocument/2006/customXml" ds:itemID="{4F2C1861-D938-4E2D-850D-7F279B968F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Allison</dc:creator>
  <cp:keywords/>
  <dc:description/>
  <cp:lastModifiedBy>Miller, Tanyia (L&amp;I)</cp:lastModifiedBy>
  <cp:revision>2</cp:revision>
  <dcterms:created xsi:type="dcterms:W3CDTF">2019-12-03T15:27:00Z</dcterms:created>
  <dcterms:modified xsi:type="dcterms:W3CDTF">2019-12-03T15:27:00Z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0x0101007DD231081A0DF74892222EDBB73F1DEA</vt:lpwstr>
  </property>
  <property fmtid="{D5CDD505-2E9C-101B-9397-08002B2CF9AE}" pid="3" name="Order">
    <vt:r8>6800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